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904E" w14:textId="7DD05ABD" w:rsidR="009F554F" w:rsidRPr="009F554F" w:rsidRDefault="009F554F" w:rsidP="009F554F">
      <w:pPr>
        <w:pStyle w:val="shrm-element-p"/>
        <w:spacing w:before="0" w:beforeAutospacing="0" w:after="120" w:afterAutospacing="0"/>
        <w:rPr>
          <w:bCs/>
        </w:rPr>
      </w:pPr>
      <w:r w:rsidRPr="009F554F">
        <w:rPr>
          <w:bCs/>
          <w:highlight w:val="yellow"/>
        </w:rPr>
        <w:t xml:space="preserve">Laura, put in a fun </w:t>
      </w:r>
      <w:r>
        <w:rPr>
          <w:bCs/>
          <w:highlight w:val="yellow"/>
        </w:rPr>
        <w:t>stamp-</w:t>
      </w:r>
      <w:proofErr w:type="spellStart"/>
      <w:r>
        <w:rPr>
          <w:bCs/>
          <w:highlight w:val="yellow"/>
        </w:rPr>
        <w:t>esque</w:t>
      </w:r>
      <w:proofErr w:type="spellEnd"/>
      <w:r>
        <w:rPr>
          <w:bCs/>
          <w:highlight w:val="yellow"/>
        </w:rPr>
        <w:t xml:space="preserve"> </w:t>
      </w:r>
      <w:r w:rsidRPr="009F554F">
        <w:rPr>
          <w:bCs/>
          <w:highlight w:val="yellow"/>
        </w:rPr>
        <w:t>font “SAMPLE” at the top of this page</w:t>
      </w:r>
    </w:p>
    <w:p w14:paraId="0B2C57C0" w14:textId="69F84F06" w:rsidR="00E171A1" w:rsidRPr="00D84221" w:rsidRDefault="00E171A1" w:rsidP="00E171A1">
      <w:pPr>
        <w:pStyle w:val="shrm-element-p"/>
        <w:spacing w:before="0" w:beforeAutospacing="0" w:after="120" w:afterAutospacing="0"/>
        <w:jc w:val="center"/>
        <w:rPr>
          <w:b/>
        </w:rPr>
      </w:pPr>
      <w:r w:rsidRPr="00D84221">
        <w:rPr>
          <w:b/>
        </w:rPr>
        <w:t>Exhibit A</w:t>
      </w:r>
    </w:p>
    <w:p w14:paraId="3F2F26A9" w14:textId="77777777" w:rsidR="00E171A1" w:rsidRPr="00D84221" w:rsidRDefault="00E171A1" w:rsidP="00E171A1">
      <w:pPr>
        <w:pStyle w:val="shrm-element-p"/>
        <w:spacing w:before="0" w:beforeAutospacing="0" w:after="120" w:afterAutospacing="0"/>
        <w:jc w:val="center"/>
        <w:rPr>
          <w:b/>
        </w:rPr>
      </w:pPr>
      <w:r w:rsidRPr="00D84221">
        <w:rPr>
          <w:b/>
        </w:rPr>
        <w:t>Whistleblower Protection Policy</w:t>
      </w:r>
    </w:p>
    <w:p w14:paraId="0EEAE6EE" w14:textId="77777777" w:rsidR="00E171A1" w:rsidRPr="00D84221" w:rsidRDefault="0061560C" w:rsidP="00E171A1">
      <w:pPr>
        <w:pStyle w:val="shrm-element-p"/>
        <w:numPr>
          <w:ilvl w:val="0"/>
          <w:numId w:val="3"/>
        </w:numPr>
        <w:spacing w:before="0" w:beforeAutospacing="0" w:after="120" w:afterAutospacing="0"/>
        <w:rPr>
          <w:b/>
        </w:rPr>
      </w:pPr>
      <w:r w:rsidRPr="00D84221">
        <w:rPr>
          <w:b/>
        </w:rPr>
        <w:t>Purpose</w:t>
      </w:r>
    </w:p>
    <w:p w14:paraId="64AA0184" w14:textId="41D4F4CE" w:rsidR="00E171A1" w:rsidRPr="00D84221" w:rsidRDefault="0061560C" w:rsidP="0061560C">
      <w:pPr>
        <w:pStyle w:val="shrm-element-p"/>
        <w:spacing w:before="0" w:beforeAutospacing="0" w:after="120" w:afterAutospacing="0"/>
        <w:ind w:left="720"/>
      </w:pPr>
      <w:r w:rsidRPr="00D84221">
        <w:t>The</w:t>
      </w:r>
      <w:r w:rsidRPr="00D84221">
        <w:rPr>
          <w:b/>
        </w:rPr>
        <w:t xml:space="preserve"> </w:t>
      </w:r>
      <w:r w:rsidR="0066025B" w:rsidRPr="00D84221">
        <w:rPr>
          <w:b/>
        </w:rPr>
        <w:t>Town</w:t>
      </w:r>
      <w:r w:rsidR="00D84221" w:rsidRPr="00D84221">
        <w:rPr>
          <w:b/>
        </w:rPr>
        <w:t>ship</w:t>
      </w:r>
      <w:r w:rsidR="0066025B" w:rsidRPr="00D84221">
        <w:rPr>
          <w:b/>
        </w:rPr>
        <w:t xml:space="preserve"> of _____________________</w:t>
      </w:r>
      <w:r w:rsidRPr="00D84221">
        <w:t xml:space="preserve"> (</w:t>
      </w:r>
      <w:r w:rsidR="00294E99" w:rsidRPr="00D84221">
        <w:rPr>
          <w:b/>
        </w:rPr>
        <w:t>Town</w:t>
      </w:r>
      <w:r w:rsidR="00D84221" w:rsidRPr="00D84221">
        <w:rPr>
          <w:b/>
        </w:rPr>
        <w:t>ship</w:t>
      </w:r>
      <w:r w:rsidRPr="00D84221">
        <w:t>) provides w</w:t>
      </w:r>
      <w:r w:rsidR="00E171A1" w:rsidRPr="00D84221">
        <w:t>histle</w:t>
      </w:r>
      <w:r w:rsidRPr="00D84221">
        <w:t xml:space="preserve">blower protections </w:t>
      </w:r>
      <w:r w:rsidR="005567EC" w:rsidRPr="00D84221">
        <w:t xml:space="preserve">in two important areas: </w:t>
      </w:r>
      <w:r w:rsidR="00E171A1" w:rsidRPr="00D84221">
        <w:t xml:space="preserve">confidentiality and against retaliation. </w:t>
      </w:r>
      <w:r w:rsidR="007C0FDA" w:rsidRPr="00D84221">
        <w:t>T</w:t>
      </w:r>
      <w:r w:rsidR="000E573B" w:rsidRPr="00D84221">
        <w:t xml:space="preserve">he confidentiality of a </w:t>
      </w:r>
      <w:r w:rsidR="00E171A1" w:rsidRPr="00D84221">
        <w:t>whistleblower will be maintained</w:t>
      </w:r>
      <w:r w:rsidR="007C0FDA" w:rsidRPr="00D84221">
        <w:t xml:space="preserve"> to </w:t>
      </w:r>
      <w:r w:rsidR="000E573B" w:rsidRPr="00D84221">
        <w:t>the extent allowable by law</w:t>
      </w:r>
      <w:r w:rsidR="007C0FDA" w:rsidRPr="00D84221">
        <w:t>, h</w:t>
      </w:r>
      <w:r w:rsidR="00E171A1" w:rsidRPr="00D84221">
        <w:t xml:space="preserve">owever, </w:t>
      </w:r>
      <w:r w:rsidR="00301EEC" w:rsidRPr="00D84221">
        <w:t xml:space="preserve">an </w:t>
      </w:r>
      <w:r w:rsidR="00E171A1" w:rsidRPr="00D84221">
        <w:t>identity may have to be disclosed to conduct a thorough investigation, to comply with the law and to provide accused individuals their legal rights of defense.</w:t>
      </w:r>
      <w:r w:rsidR="000E573B" w:rsidRPr="00D84221">
        <w:t xml:space="preserve"> A whistleblower may also waive confidentiality in writing.</w:t>
      </w:r>
      <w:r w:rsidR="00E171A1" w:rsidRPr="00D84221">
        <w:t xml:space="preserve"> The </w:t>
      </w:r>
      <w:r w:rsidR="00D84221" w:rsidRPr="00D84221">
        <w:rPr>
          <w:b/>
        </w:rPr>
        <w:t>Township</w:t>
      </w:r>
      <w:r w:rsidR="00E171A1" w:rsidRPr="00D84221">
        <w:t xml:space="preserve"> will not retaliate against a whistleblower. This includes, but is not limited to, protection from retaliation in the form of an adverse employment action such as termination, compensation decreases, or poor work assignments and threats of physical harm. Any whistleblowers who believe they are being retaliated against must </w:t>
      </w:r>
      <w:r w:rsidR="0066025B" w:rsidRPr="00D84221">
        <w:t>submit a written report to the Auditing O</w:t>
      </w:r>
      <w:r w:rsidR="00E171A1" w:rsidRPr="00D84221">
        <w:t>fficial within 60 days of gaining knowledge of the retaliatory action. The right of a whistleblower for protection against retaliation does not include immunity for any personal wrongdoing that is alleged and investigated. </w:t>
      </w:r>
    </w:p>
    <w:p w14:paraId="6909029C" w14:textId="77777777" w:rsidR="0061560C" w:rsidRPr="00D84221" w:rsidRDefault="0061560C" w:rsidP="0061560C">
      <w:pPr>
        <w:pStyle w:val="shrm-element-p"/>
        <w:spacing w:before="0" w:beforeAutospacing="0" w:after="120" w:afterAutospacing="0"/>
        <w:ind w:left="720"/>
      </w:pPr>
    </w:p>
    <w:p w14:paraId="19B61CD3" w14:textId="77777777" w:rsidR="00E171A1" w:rsidRPr="00D84221" w:rsidRDefault="00E171A1" w:rsidP="00E171A1">
      <w:pPr>
        <w:pStyle w:val="shrm-element-p"/>
        <w:numPr>
          <w:ilvl w:val="0"/>
          <w:numId w:val="3"/>
        </w:numPr>
        <w:spacing w:before="0" w:beforeAutospacing="0" w:after="120" w:afterAutospacing="0"/>
        <w:rPr>
          <w:b/>
        </w:rPr>
      </w:pPr>
      <w:r w:rsidRPr="00D84221">
        <w:rPr>
          <w:b/>
        </w:rPr>
        <w:t>Definitions</w:t>
      </w:r>
    </w:p>
    <w:p w14:paraId="7A7C91AE" w14:textId="5FB0419E" w:rsidR="0061560C" w:rsidRPr="00D84221" w:rsidRDefault="0061560C" w:rsidP="0061560C">
      <w:pPr>
        <w:pStyle w:val="shrm-element-p"/>
        <w:numPr>
          <w:ilvl w:val="0"/>
          <w:numId w:val="2"/>
        </w:numPr>
        <w:spacing w:before="0" w:beforeAutospacing="0" w:after="120" w:afterAutospacing="0"/>
      </w:pPr>
      <w:r w:rsidRPr="00D84221">
        <w:rPr>
          <w:b/>
        </w:rPr>
        <w:t>Whistleblower</w:t>
      </w:r>
      <w:r w:rsidRPr="00D84221">
        <w:t xml:space="preserve"> means an employee</w:t>
      </w:r>
      <w:r w:rsidR="00E63BFB" w:rsidRPr="00D84221">
        <w:t>, as defined in Section II of this policy,</w:t>
      </w:r>
      <w:r w:rsidRPr="00D84221">
        <w:t xml:space="preserve"> of the </w:t>
      </w:r>
      <w:r w:rsidR="00D84221" w:rsidRPr="00D84221">
        <w:rPr>
          <w:b/>
        </w:rPr>
        <w:t>Township</w:t>
      </w:r>
      <w:r w:rsidRPr="00D84221">
        <w:t xml:space="preserve"> who: </w:t>
      </w:r>
    </w:p>
    <w:p w14:paraId="17EDC7E9" w14:textId="77777777" w:rsidR="0061560C" w:rsidRPr="00D84221" w:rsidRDefault="0061560C" w:rsidP="0061560C">
      <w:pPr>
        <w:pStyle w:val="shrm-element-p"/>
        <w:numPr>
          <w:ilvl w:val="0"/>
          <w:numId w:val="8"/>
        </w:numPr>
        <w:spacing w:before="0" w:beforeAutospacing="0" w:after="120" w:afterAutospacing="0"/>
      </w:pPr>
      <w:r w:rsidRPr="00D84221">
        <w:t>Reports an improper governmental action as defined under 50 ILCS 105/4.1 (</w:t>
      </w:r>
      <w:r w:rsidR="0066025B" w:rsidRPr="00D84221">
        <w:t xml:space="preserve">hereinafter </w:t>
      </w:r>
      <w:r w:rsidRPr="00D84221">
        <w:t>Section 4.1);</w:t>
      </w:r>
    </w:p>
    <w:p w14:paraId="181AE753" w14:textId="77777777" w:rsidR="0061560C" w:rsidRPr="00D84221" w:rsidRDefault="0061560C" w:rsidP="0061560C">
      <w:pPr>
        <w:pStyle w:val="shrm-element-p"/>
        <w:numPr>
          <w:ilvl w:val="0"/>
          <w:numId w:val="8"/>
        </w:numPr>
        <w:spacing w:before="0" w:beforeAutospacing="0" w:after="120" w:afterAutospacing="0"/>
      </w:pPr>
      <w:r w:rsidRPr="00D84221">
        <w:t xml:space="preserve">Cooperates with an investigation by an </w:t>
      </w:r>
      <w:r w:rsidR="0066025B" w:rsidRPr="00D84221">
        <w:t>Auditing Official</w:t>
      </w:r>
      <w:r w:rsidRPr="00D84221">
        <w:t xml:space="preserve"> related to a report of improper governmental action; or</w:t>
      </w:r>
      <w:r w:rsidR="00301EEC" w:rsidRPr="00D84221">
        <w:t>,</w:t>
      </w:r>
    </w:p>
    <w:p w14:paraId="5B291F09" w14:textId="77777777" w:rsidR="0061560C" w:rsidRPr="00D84221" w:rsidRDefault="0061560C" w:rsidP="0061560C">
      <w:pPr>
        <w:pStyle w:val="shrm-element-p"/>
        <w:numPr>
          <w:ilvl w:val="0"/>
          <w:numId w:val="8"/>
        </w:numPr>
        <w:spacing w:before="0" w:beforeAutospacing="0" w:after="120" w:afterAutospacing="0"/>
      </w:pPr>
      <w:r w:rsidRPr="00D84221">
        <w:t>Testifies in a proceeding or prosecution arising out of an improper governmental action.</w:t>
      </w:r>
    </w:p>
    <w:p w14:paraId="53988BD6" w14:textId="596B1CF5" w:rsidR="004A023E" w:rsidRPr="00D84221" w:rsidRDefault="0066025B" w:rsidP="00E171A1">
      <w:pPr>
        <w:pStyle w:val="shrm-element-p"/>
        <w:numPr>
          <w:ilvl w:val="0"/>
          <w:numId w:val="2"/>
        </w:numPr>
        <w:spacing w:before="0" w:beforeAutospacing="0" w:after="120" w:afterAutospacing="0"/>
      </w:pPr>
      <w:r w:rsidRPr="00D84221">
        <w:rPr>
          <w:b/>
        </w:rPr>
        <w:t>Auditing Official</w:t>
      </w:r>
      <w:r w:rsidR="00301EEC" w:rsidRPr="00D84221">
        <w:t xml:space="preserve"> means any elected, appointed</w:t>
      </w:r>
      <w:r w:rsidR="004A023E" w:rsidRPr="00D84221">
        <w:t xml:space="preserve"> or </w:t>
      </w:r>
      <w:r w:rsidRPr="00D84221">
        <w:t>employed</w:t>
      </w:r>
      <w:r w:rsidR="004A023E" w:rsidRPr="00D84221">
        <w:t xml:space="preserve"> individual, by whatever name, in </w:t>
      </w:r>
      <w:r w:rsidR="00A5070F" w:rsidRPr="00D84221">
        <w:t xml:space="preserve">the </w:t>
      </w:r>
      <w:r w:rsidR="00D84221" w:rsidRPr="00D84221">
        <w:rPr>
          <w:b/>
        </w:rPr>
        <w:t>Township</w:t>
      </w:r>
      <w:r w:rsidR="00301EEC" w:rsidRPr="00D84221">
        <w:t xml:space="preserve"> whose duties </w:t>
      </w:r>
      <w:r w:rsidRPr="00D84221">
        <w:t xml:space="preserve">may </w:t>
      </w:r>
      <w:proofErr w:type="gramStart"/>
      <w:r w:rsidRPr="00D84221">
        <w:t>include:</w:t>
      </w:r>
      <w:proofErr w:type="gramEnd"/>
      <w:r w:rsidRPr="00D84221">
        <w:t xml:space="preserve"> </w:t>
      </w:r>
      <w:r w:rsidR="00301EEC" w:rsidRPr="00D84221">
        <w:t xml:space="preserve">receiving, registering </w:t>
      </w:r>
      <w:r w:rsidR="004A023E" w:rsidRPr="00D84221">
        <w:t>and investigating complaints and information conce</w:t>
      </w:r>
      <w:r w:rsidR="00301EEC" w:rsidRPr="00D84221">
        <w:t xml:space="preserve">rning misconduct, inefficiency </w:t>
      </w:r>
      <w:r w:rsidR="004A023E" w:rsidRPr="00D84221">
        <w:t>and waste within the</w:t>
      </w:r>
      <w:r w:rsidR="00A5070F" w:rsidRPr="00D84221">
        <w:t xml:space="preserve"> </w:t>
      </w:r>
      <w:r w:rsidR="00D84221" w:rsidRPr="00D84221">
        <w:rPr>
          <w:b/>
        </w:rPr>
        <w:t>Township</w:t>
      </w:r>
      <w:r w:rsidR="004A023E" w:rsidRPr="00D84221">
        <w:t>; investigating the performance of officers, empl</w:t>
      </w:r>
      <w:r w:rsidR="00301EEC" w:rsidRPr="00D84221">
        <w:t>oyees, functions</w:t>
      </w:r>
      <w:r w:rsidR="004A023E" w:rsidRPr="00D84221">
        <w:t xml:space="preserve"> and programs; and</w:t>
      </w:r>
      <w:r w:rsidR="00301EEC" w:rsidRPr="00D84221">
        <w:t>,</w:t>
      </w:r>
      <w:r w:rsidR="004A023E" w:rsidRPr="00D84221">
        <w:t xml:space="preserve"> promoting economy, efficiency, effectiveness and integrity in the administration of the program</w:t>
      </w:r>
      <w:r w:rsidR="00A5070F" w:rsidRPr="00D84221">
        <w:t xml:space="preserve">s and operations of the </w:t>
      </w:r>
      <w:r w:rsidR="00D84221" w:rsidRPr="00D84221">
        <w:rPr>
          <w:b/>
        </w:rPr>
        <w:t>Township</w:t>
      </w:r>
      <w:r w:rsidR="004A023E" w:rsidRPr="00D84221">
        <w:t xml:space="preserve">. </w:t>
      </w:r>
    </w:p>
    <w:p w14:paraId="1E397C57" w14:textId="4DA59612" w:rsidR="00301EEC" w:rsidRPr="00D84221" w:rsidRDefault="00301EEC" w:rsidP="00E171A1">
      <w:pPr>
        <w:pStyle w:val="shrm-element-p"/>
        <w:numPr>
          <w:ilvl w:val="1"/>
          <w:numId w:val="2"/>
        </w:numPr>
        <w:spacing w:before="0" w:beforeAutospacing="0" w:after="120" w:afterAutospacing="0"/>
      </w:pPr>
      <w:r w:rsidRPr="00D84221">
        <w:t xml:space="preserve">The </w:t>
      </w:r>
      <w:r w:rsidR="0066025B" w:rsidRPr="00D84221">
        <w:t>Auditing Official</w:t>
      </w:r>
      <w:r w:rsidRPr="00D84221">
        <w:t xml:space="preserve"> shall be ____________________________ </w:t>
      </w:r>
      <w:r w:rsidRPr="00D84221">
        <w:rPr>
          <w:b/>
        </w:rPr>
        <w:t>[Name, Title]</w:t>
      </w:r>
      <w:r w:rsidRPr="00D84221">
        <w:t xml:space="preserve">, until replaced by the </w:t>
      </w:r>
      <w:r w:rsidR="00D84221" w:rsidRPr="00D84221">
        <w:rPr>
          <w:b/>
        </w:rPr>
        <w:t>Township</w:t>
      </w:r>
      <w:r w:rsidRPr="00D84221">
        <w:t>.</w:t>
      </w:r>
    </w:p>
    <w:p w14:paraId="1E63E927" w14:textId="1EB9438F" w:rsidR="004A023E" w:rsidRPr="00D84221" w:rsidRDefault="004A023E" w:rsidP="00E171A1">
      <w:pPr>
        <w:pStyle w:val="shrm-element-p"/>
        <w:numPr>
          <w:ilvl w:val="1"/>
          <w:numId w:val="2"/>
        </w:numPr>
        <w:spacing w:before="0" w:beforeAutospacing="0" w:after="120" w:afterAutospacing="0"/>
      </w:pPr>
      <w:r w:rsidRPr="00D84221">
        <w:t xml:space="preserve">If </w:t>
      </w:r>
      <w:r w:rsidR="00A5070F" w:rsidRPr="00D84221">
        <w:t xml:space="preserve">the </w:t>
      </w:r>
      <w:r w:rsidR="00D84221" w:rsidRPr="00D84221">
        <w:rPr>
          <w:b/>
        </w:rPr>
        <w:t>Township</w:t>
      </w:r>
      <w:r w:rsidR="007C0FDA" w:rsidRPr="00D84221">
        <w:t xml:space="preserve"> does not designate an </w:t>
      </w:r>
      <w:r w:rsidR="0066025B" w:rsidRPr="00D84221">
        <w:t>Auditing Official</w:t>
      </w:r>
      <w:r w:rsidR="007C0FDA" w:rsidRPr="00D84221">
        <w:t xml:space="preserve">, the </w:t>
      </w:r>
      <w:r w:rsidR="0066025B" w:rsidRPr="00D84221">
        <w:t>Auditing Official</w:t>
      </w:r>
      <w:r w:rsidRPr="00D84221">
        <w:t xml:space="preserve"> </w:t>
      </w:r>
      <w:r w:rsidR="007C0FDA" w:rsidRPr="00D84221">
        <w:t>defaults to</w:t>
      </w:r>
      <w:r w:rsidR="0066025B" w:rsidRPr="00D84221">
        <w:t xml:space="preserve"> the</w:t>
      </w:r>
      <w:r w:rsidRPr="00D84221">
        <w:t xml:space="preserve"> State's Attorney of </w:t>
      </w:r>
      <w:r w:rsidR="00A5070F" w:rsidRPr="00D84221">
        <w:t xml:space="preserve">_________________________ </w:t>
      </w:r>
      <w:r w:rsidR="00A5070F" w:rsidRPr="00D84221">
        <w:rPr>
          <w:b/>
        </w:rPr>
        <w:t>[Name of County]</w:t>
      </w:r>
      <w:r w:rsidR="00A5070F" w:rsidRPr="00D84221">
        <w:t>.</w:t>
      </w:r>
    </w:p>
    <w:p w14:paraId="79F444F2" w14:textId="3FC469F7" w:rsidR="004A023E" w:rsidRPr="00D84221" w:rsidRDefault="004A023E" w:rsidP="00E171A1">
      <w:pPr>
        <w:pStyle w:val="shrm-element-p"/>
        <w:numPr>
          <w:ilvl w:val="0"/>
          <w:numId w:val="2"/>
        </w:numPr>
        <w:spacing w:before="0" w:beforeAutospacing="0" w:after="120" w:afterAutospacing="0"/>
      </w:pPr>
      <w:r w:rsidRPr="00D84221">
        <w:rPr>
          <w:b/>
        </w:rPr>
        <w:t>Employee</w:t>
      </w:r>
      <w:r w:rsidRPr="00D84221">
        <w:t xml:space="preserve"> means anyone employed by </w:t>
      </w:r>
      <w:r w:rsidR="00A5070F" w:rsidRPr="00D84221">
        <w:t xml:space="preserve">the </w:t>
      </w:r>
      <w:r w:rsidR="00D84221" w:rsidRPr="00D84221">
        <w:rPr>
          <w:b/>
        </w:rPr>
        <w:t>Township</w:t>
      </w:r>
      <w:r w:rsidRPr="00D84221">
        <w:t>, whether in a permanent or temporary position,</w:t>
      </w:r>
      <w:r w:rsidR="00301EEC" w:rsidRPr="00D84221">
        <w:t xml:space="preserve"> including full-time, </w:t>
      </w:r>
      <w:proofErr w:type="gramStart"/>
      <w:r w:rsidR="00301EEC" w:rsidRPr="00D84221">
        <w:t>part-time</w:t>
      </w:r>
      <w:proofErr w:type="gramEnd"/>
      <w:r w:rsidRPr="00D84221">
        <w:t xml:space="preserve"> and intermittent workers. Employee </w:t>
      </w:r>
      <w:r w:rsidRPr="00D84221">
        <w:lastRenderedPageBreak/>
        <w:t>also includes members of appointed boards or commissions, whether paid</w:t>
      </w:r>
      <w:r w:rsidR="00301EEC" w:rsidRPr="00D84221">
        <w:t xml:space="preserve"> or unpaid</w:t>
      </w:r>
      <w:r w:rsidRPr="00D84221">
        <w:t>. Employee also includes persons who have been terminated because of any report or complaint submitted und</w:t>
      </w:r>
      <w:r w:rsidR="00E171A1" w:rsidRPr="00D84221">
        <w:t>er Section 4.1</w:t>
      </w:r>
      <w:r w:rsidRPr="00D84221">
        <w:t>.</w:t>
      </w:r>
    </w:p>
    <w:p w14:paraId="2B05F891" w14:textId="375E575E" w:rsidR="004A023E" w:rsidRPr="00D84221" w:rsidRDefault="004A023E" w:rsidP="00E171A1">
      <w:pPr>
        <w:pStyle w:val="shrm-element-p"/>
        <w:numPr>
          <w:ilvl w:val="0"/>
          <w:numId w:val="2"/>
        </w:numPr>
        <w:spacing w:before="0" w:beforeAutospacing="0" w:after="120" w:afterAutospacing="0"/>
      </w:pPr>
      <w:r w:rsidRPr="00D84221">
        <w:rPr>
          <w:b/>
        </w:rPr>
        <w:t>Improper governmental action</w:t>
      </w:r>
      <w:r w:rsidRPr="00D84221">
        <w:t xml:space="preserve"> mean</w:t>
      </w:r>
      <w:r w:rsidR="00637C99" w:rsidRPr="00D84221">
        <w:t xml:space="preserve">s any action by </w:t>
      </w:r>
      <w:r w:rsidR="00A5070F" w:rsidRPr="00D84221">
        <w:t>an</w:t>
      </w:r>
      <w:r w:rsidR="00301EEC" w:rsidRPr="00D84221">
        <w:t xml:space="preserve"> employee</w:t>
      </w:r>
      <w:r w:rsidR="00A5070F" w:rsidRPr="00D84221">
        <w:t xml:space="preserve"> of the </w:t>
      </w:r>
      <w:r w:rsidR="00D84221" w:rsidRPr="00D84221">
        <w:rPr>
          <w:b/>
        </w:rPr>
        <w:t>Township</w:t>
      </w:r>
      <w:r w:rsidR="00301EEC" w:rsidRPr="00D84221">
        <w:t>;</w:t>
      </w:r>
      <w:r w:rsidRPr="00D84221">
        <w:t xml:space="preserve"> an appointe</w:t>
      </w:r>
      <w:r w:rsidR="00301EEC" w:rsidRPr="00D84221">
        <w:t xml:space="preserve">d member of a board, commission or committee; </w:t>
      </w:r>
      <w:proofErr w:type="gramStart"/>
      <w:r w:rsidR="00301EEC" w:rsidRPr="00D84221">
        <w:t>or</w:t>
      </w:r>
      <w:r w:rsidR="007C0FDA" w:rsidRPr="00D84221">
        <w:t>,</w:t>
      </w:r>
      <w:proofErr w:type="gramEnd"/>
      <w:r w:rsidR="00301EEC" w:rsidRPr="00D84221">
        <w:t xml:space="preserve"> </w:t>
      </w:r>
      <w:r w:rsidRPr="00D84221">
        <w:t xml:space="preserve">an elected official of the </w:t>
      </w:r>
      <w:r w:rsidR="00D84221" w:rsidRPr="00D84221">
        <w:rPr>
          <w:b/>
        </w:rPr>
        <w:t>Township</w:t>
      </w:r>
      <w:r w:rsidR="00A5070F" w:rsidRPr="00D84221">
        <w:t xml:space="preserve"> </w:t>
      </w:r>
      <w:r w:rsidRPr="00D84221">
        <w:t>that is underta</w:t>
      </w:r>
      <w:r w:rsidR="00A5070F" w:rsidRPr="00D84221">
        <w:t>ken in violation of a federal or state law or local ordinance</w:t>
      </w:r>
      <w:r w:rsidRPr="00D84221">
        <w:t xml:space="preserve">; is an abuse of authority; violates the public's trust or expectation of </w:t>
      </w:r>
      <w:r w:rsidR="00637C99" w:rsidRPr="00D84221">
        <w:t>their</w:t>
      </w:r>
      <w:r w:rsidRPr="00D84221">
        <w:t xml:space="preserve"> conduct; is of substantial and specific danger to the public's health or safety; or</w:t>
      </w:r>
      <w:r w:rsidR="00637C99" w:rsidRPr="00D84221">
        <w:t>,</w:t>
      </w:r>
      <w:r w:rsidRPr="00D84221">
        <w:t xml:space="preserve"> is a gross waste of public funds. The action need not be within the scope of the employee's, elected </w:t>
      </w:r>
      <w:proofErr w:type="spellStart"/>
      <w:r w:rsidRPr="00D84221">
        <w:t>official's</w:t>
      </w:r>
      <w:proofErr w:type="spellEnd"/>
      <w:r w:rsidRPr="00D84221">
        <w:t>, boar</w:t>
      </w:r>
      <w:r w:rsidR="00637C99" w:rsidRPr="00D84221">
        <w:t>d member's, commission member's</w:t>
      </w:r>
      <w:r w:rsidRPr="00D84221">
        <w:t xml:space="preserve"> or committee member's official duties to be subject to a claim of "improper governmental action</w:t>
      </w:r>
      <w:r w:rsidR="00637C99" w:rsidRPr="00D84221">
        <w:t>."</w:t>
      </w:r>
      <w:r w:rsidRPr="00D84221">
        <w:t xml:space="preserve"> </w:t>
      </w:r>
      <w:r w:rsidR="00A5070F" w:rsidRPr="00D84221">
        <w:t xml:space="preserve"> </w:t>
      </w:r>
    </w:p>
    <w:p w14:paraId="1F1DA7DF" w14:textId="7B418366" w:rsidR="00FD1157" w:rsidRPr="00D84221" w:rsidRDefault="004A023E" w:rsidP="00E171A1">
      <w:pPr>
        <w:pStyle w:val="shrm-element-p"/>
        <w:numPr>
          <w:ilvl w:val="1"/>
          <w:numId w:val="2"/>
        </w:numPr>
        <w:spacing w:before="0" w:beforeAutospacing="0" w:after="120" w:afterAutospacing="0"/>
      </w:pPr>
      <w:r w:rsidRPr="00D84221">
        <w:t>Improper governm</w:t>
      </w:r>
      <w:r w:rsidR="00A5070F" w:rsidRPr="00D84221">
        <w:t xml:space="preserve">ental action does not include the </w:t>
      </w:r>
      <w:r w:rsidR="00D84221" w:rsidRPr="00D84221">
        <w:rPr>
          <w:b/>
        </w:rPr>
        <w:t>Township</w:t>
      </w:r>
      <w:r w:rsidR="00A5070F" w:rsidRPr="00D84221">
        <w:t xml:space="preserve">’s </w:t>
      </w:r>
      <w:r w:rsidRPr="00D84221">
        <w:t xml:space="preserve">personnel actions, including, but not limited to employee grievances, complaints, appointments, promotions, transfers, assignments, reassignments, reinstatements, restorations, reemployment, performance evaluations, reductions in pay, dismissals, suspensions, demotions, </w:t>
      </w:r>
      <w:proofErr w:type="gramStart"/>
      <w:r w:rsidRPr="00D84221">
        <w:t>repr</w:t>
      </w:r>
      <w:r w:rsidR="00637C99" w:rsidRPr="00D84221">
        <w:t>imands</w:t>
      </w:r>
      <w:proofErr w:type="gramEnd"/>
      <w:r w:rsidRPr="00D84221">
        <w:t xml:space="preserve"> or violations of collective bargaining agreements, except to the extent that the action amounts to retaliation.</w:t>
      </w:r>
    </w:p>
    <w:p w14:paraId="4FBDDDA4" w14:textId="77777777" w:rsidR="004A023E" w:rsidRPr="00D84221" w:rsidRDefault="004A023E" w:rsidP="00E171A1">
      <w:pPr>
        <w:pStyle w:val="shrm-element-p"/>
        <w:numPr>
          <w:ilvl w:val="0"/>
          <w:numId w:val="2"/>
        </w:numPr>
        <w:spacing w:before="0" w:beforeAutospacing="0" w:after="120" w:afterAutospacing="0"/>
      </w:pPr>
      <w:r w:rsidRPr="00D84221">
        <w:rPr>
          <w:b/>
        </w:rPr>
        <w:t>Retaliate, retaliation or retaliatory action</w:t>
      </w:r>
      <w:r w:rsidRPr="00D84221">
        <w:t xml:space="preserve"> means any adverse change in an employee's employment status or the terms and conditions of employment that results from an employee's protected activity under Section 4.1. Retaliatory action includes, but is not limited to, denial of adequate staff to perform duties; frequent staff changes; frequent and undesirable office changes; refusal to assign meaningful work; unsubstantiated letters of reprimand or unsatisfactory performance evaluations; demotion; reduction in pay; denial of promotion; transfer or reassignment; suspension or dismissal; or</w:t>
      </w:r>
      <w:r w:rsidR="00637C99" w:rsidRPr="00D84221">
        <w:t>,</w:t>
      </w:r>
      <w:r w:rsidRPr="00D84221">
        <w:t xml:space="preserve"> other disciplinary action made because of an employee's protected activity under Section 4.1.</w:t>
      </w:r>
    </w:p>
    <w:p w14:paraId="41ECCF4B" w14:textId="77777777" w:rsidR="0061560C" w:rsidRPr="00D84221" w:rsidRDefault="0061560C" w:rsidP="0061560C">
      <w:pPr>
        <w:pStyle w:val="shrm-element-p"/>
        <w:spacing w:before="0" w:beforeAutospacing="0" w:after="120" w:afterAutospacing="0"/>
        <w:ind w:left="720"/>
      </w:pPr>
    </w:p>
    <w:p w14:paraId="34D94D9C" w14:textId="77777777" w:rsidR="0061560C" w:rsidRPr="00D84221" w:rsidRDefault="007C0FDA" w:rsidP="0061560C">
      <w:pPr>
        <w:pStyle w:val="shrm-element-p"/>
        <w:numPr>
          <w:ilvl w:val="0"/>
          <w:numId w:val="3"/>
        </w:numPr>
        <w:spacing w:before="0" w:beforeAutospacing="0" w:after="120" w:afterAutospacing="0"/>
      </w:pPr>
      <w:r w:rsidRPr="00D84221">
        <w:rPr>
          <w:b/>
        </w:rPr>
        <w:t xml:space="preserve">Duties of an </w:t>
      </w:r>
      <w:r w:rsidR="0066025B" w:rsidRPr="00D84221">
        <w:rPr>
          <w:b/>
        </w:rPr>
        <w:t>Auditing Official</w:t>
      </w:r>
    </w:p>
    <w:p w14:paraId="0F831997" w14:textId="77777777" w:rsidR="00512CEF" w:rsidRPr="00D84221" w:rsidRDefault="00512CEF" w:rsidP="00512CEF">
      <w:pPr>
        <w:pStyle w:val="shrm-element-p"/>
        <w:spacing w:before="0" w:beforeAutospacing="0" w:after="120" w:afterAutospacing="0"/>
        <w:ind w:left="720"/>
      </w:pPr>
      <w:r w:rsidRPr="00D84221">
        <w:t xml:space="preserve">Each </w:t>
      </w:r>
      <w:r w:rsidR="0066025B" w:rsidRPr="00D84221">
        <w:t>Auditing Official</w:t>
      </w:r>
      <w:r w:rsidRPr="00D84221">
        <w:t xml:space="preserve"> shall establish written processes and procedures</w:t>
      </w:r>
      <w:r w:rsidR="00637C99" w:rsidRPr="00D84221">
        <w:t xml:space="preserve"> consistent with the terms of this policy and best practices for investigations</w:t>
      </w:r>
      <w:r w:rsidRPr="00D84221">
        <w:t xml:space="preserve"> for managing comp</w:t>
      </w:r>
      <w:r w:rsidR="00637C99" w:rsidRPr="00D84221">
        <w:t>laints filed under Section 4.1. E</w:t>
      </w:r>
      <w:r w:rsidRPr="00D84221">
        <w:t xml:space="preserve">ach </w:t>
      </w:r>
      <w:r w:rsidR="0066025B" w:rsidRPr="00D84221">
        <w:t>Auditing Official</w:t>
      </w:r>
      <w:r w:rsidRPr="00D84221">
        <w:t xml:space="preserve"> shall investigate and dispose of reports of improper governmental action in accordance with</w:t>
      </w:r>
      <w:r w:rsidR="000E573B" w:rsidRPr="00D84221">
        <w:t xml:space="preserve"> these processes and procedures, and all other provisions of Section 4.1.</w:t>
      </w:r>
    </w:p>
    <w:p w14:paraId="33796702" w14:textId="77777777" w:rsidR="00512CEF" w:rsidRPr="00D84221" w:rsidRDefault="00512CEF" w:rsidP="00512CEF">
      <w:pPr>
        <w:pStyle w:val="shrm-element-p"/>
        <w:spacing w:before="0" w:beforeAutospacing="0" w:after="120" w:afterAutospacing="0"/>
        <w:ind w:left="720"/>
      </w:pPr>
      <w:r w:rsidRPr="00D84221">
        <w:t xml:space="preserve">The </w:t>
      </w:r>
      <w:r w:rsidR="0066025B" w:rsidRPr="00D84221">
        <w:t>Auditing Official</w:t>
      </w:r>
      <w:r w:rsidR="00BE52A2" w:rsidRPr="00D84221">
        <w:t xml:space="preserve"> must provide</w:t>
      </w:r>
      <w:r w:rsidRPr="00D84221">
        <w:t xml:space="preserve"> each employee a written summary or a complete copy of Section 4.1 upon commencement of employment and at least once each year of employment. At the same time, the employee shall also receive a copy of the written processes and procedures for reporting improper governmental actions from the applicable </w:t>
      </w:r>
      <w:r w:rsidR="0066025B" w:rsidRPr="00D84221">
        <w:t>Auditing Official</w:t>
      </w:r>
      <w:r w:rsidRPr="00D84221">
        <w:t>.</w:t>
      </w:r>
    </w:p>
    <w:p w14:paraId="5371978F" w14:textId="77777777" w:rsidR="0061560C" w:rsidRPr="00D84221" w:rsidRDefault="0066025B" w:rsidP="0061560C">
      <w:pPr>
        <w:pStyle w:val="shrm-element-p"/>
        <w:spacing w:before="0" w:beforeAutospacing="0" w:after="120" w:afterAutospacing="0"/>
        <w:ind w:left="720"/>
      </w:pPr>
      <w:r w:rsidRPr="00D84221">
        <w:t>Auditing Official</w:t>
      </w:r>
      <w:r w:rsidR="00512CEF" w:rsidRPr="00D84221">
        <w:t>s may reinstate, reimburse for lost wages or expense</w:t>
      </w:r>
      <w:r w:rsidR="00BE52A2" w:rsidRPr="00D84221">
        <w:t>s incurred, promote</w:t>
      </w:r>
      <w:r w:rsidR="00512CEF" w:rsidRPr="00D84221">
        <w:t xml:space="preserve"> or provide</w:t>
      </w:r>
      <w:r w:rsidR="00BE52A2" w:rsidRPr="00D84221">
        <w:t xml:space="preserve"> some other form of restitution.</w:t>
      </w:r>
    </w:p>
    <w:p w14:paraId="47D02F00" w14:textId="77777777" w:rsidR="00512CEF" w:rsidRPr="00D84221" w:rsidRDefault="00512CEF" w:rsidP="0061560C">
      <w:pPr>
        <w:pStyle w:val="shrm-element-p"/>
        <w:spacing w:before="0" w:beforeAutospacing="0" w:after="120" w:afterAutospacing="0"/>
        <w:ind w:left="720"/>
      </w:pPr>
      <w:r w:rsidRPr="00D84221">
        <w:t xml:space="preserve">In instances where an </w:t>
      </w:r>
      <w:r w:rsidR="0066025B" w:rsidRPr="00D84221">
        <w:t>Auditing Official</w:t>
      </w:r>
      <w:r w:rsidRPr="00D84221">
        <w:t xml:space="preserve"> determines that restitution will not suffice, the </w:t>
      </w:r>
      <w:r w:rsidR="0066025B" w:rsidRPr="00D84221">
        <w:t>Auditing Official</w:t>
      </w:r>
      <w:r w:rsidRPr="00D84221">
        <w:t xml:space="preserve"> may make </w:t>
      </w:r>
      <w:r w:rsidR="00BE52A2" w:rsidRPr="00D84221">
        <w:t>their</w:t>
      </w:r>
      <w:r w:rsidRPr="00D84221">
        <w:t xml:space="preserve"> investigation findings available for the purposes of aiding in that employee</w:t>
      </w:r>
      <w:r w:rsidR="00BE52A2" w:rsidRPr="00D84221">
        <w:t>’s</w:t>
      </w:r>
      <w:r w:rsidR="007C0FDA" w:rsidRPr="00D84221">
        <w:t>,</w:t>
      </w:r>
      <w:r w:rsidRPr="00D84221">
        <w:t xml:space="preserve"> or the employee's attorney's</w:t>
      </w:r>
      <w:r w:rsidR="007C0FDA" w:rsidRPr="00D84221">
        <w:t>,</w:t>
      </w:r>
      <w:r w:rsidRPr="00D84221">
        <w:t xml:space="preserve"> effort to make the employee whole.</w:t>
      </w:r>
    </w:p>
    <w:p w14:paraId="18A7FBFA" w14:textId="77777777" w:rsidR="0061560C" w:rsidRPr="00D84221" w:rsidRDefault="0066025B" w:rsidP="00512CEF">
      <w:pPr>
        <w:pStyle w:val="shrm-element-p"/>
        <w:spacing w:before="0" w:beforeAutospacing="0" w:after="120" w:afterAutospacing="0"/>
        <w:ind w:left="720"/>
      </w:pPr>
      <w:r w:rsidRPr="00D84221">
        <w:lastRenderedPageBreak/>
        <w:t>Auditing Official</w:t>
      </w:r>
      <w:r w:rsidR="00512CEF" w:rsidRPr="00D84221">
        <w:t xml:space="preserve">s are responsible for reading the full context of Section 4.1 and complying with all requirements. </w:t>
      </w:r>
    </w:p>
    <w:p w14:paraId="7F7A6BA6" w14:textId="77777777" w:rsidR="00512CEF" w:rsidRPr="00D84221" w:rsidRDefault="00512CEF" w:rsidP="00512CEF">
      <w:pPr>
        <w:pStyle w:val="shrm-element-p"/>
        <w:spacing w:before="0" w:beforeAutospacing="0" w:after="120" w:afterAutospacing="0"/>
        <w:ind w:left="720"/>
      </w:pPr>
      <w:r w:rsidRPr="00D84221">
        <w:t xml:space="preserve">If no </w:t>
      </w:r>
      <w:r w:rsidR="0066025B" w:rsidRPr="00D84221">
        <w:t>Auditing Official</w:t>
      </w:r>
      <w:r w:rsidR="00BE52A2" w:rsidRPr="00D84221">
        <w:t xml:space="preserve"> is designated, the</w:t>
      </w:r>
      <w:r w:rsidRPr="00D84221">
        <w:t xml:space="preserve"> State’s Attorney </w:t>
      </w:r>
      <w:r w:rsidR="00A5070F" w:rsidRPr="00D84221">
        <w:t xml:space="preserve">of _________________ </w:t>
      </w:r>
      <w:r w:rsidR="00A5070F" w:rsidRPr="00D84221">
        <w:rPr>
          <w:b/>
        </w:rPr>
        <w:t>[Name of County]</w:t>
      </w:r>
      <w:r w:rsidR="00A5070F" w:rsidRPr="00D84221">
        <w:t xml:space="preserve"> </w:t>
      </w:r>
      <w:r w:rsidRPr="00D84221">
        <w:t xml:space="preserve">will be the default </w:t>
      </w:r>
      <w:r w:rsidR="0066025B" w:rsidRPr="00D84221">
        <w:t>Auditing Official</w:t>
      </w:r>
      <w:r w:rsidRPr="00D84221">
        <w:t>.</w:t>
      </w:r>
    </w:p>
    <w:p w14:paraId="1680CA99" w14:textId="77777777" w:rsidR="00512CEF" w:rsidRPr="00D84221" w:rsidRDefault="00512CEF" w:rsidP="00512CEF">
      <w:pPr>
        <w:pStyle w:val="shrm-element-p"/>
        <w:spacing w:before="0" w:beforeAutospacing="0" w:after="120" w:afterAutospacing="0"/>
        <w:ind w:left="720"/>
      </w:pPr>
    </w:p>
    <w:p w14:paraId="65E91CD5" w14:textId="77777777" w:rsidR="0061560C" w:rsidRPr="00D84221" w:rsidRDefault="007E0635" w:rsidP="0061560C">
      <w:pPr>
        <w:pStyle w:val="shrm-element-p"/>
        <w:numPr>
          <w:ilvl w:val="0"/>
          <w:numId w:val="3"/>
        </w:numPr>
        <w:spacing w:before="0" w:beforeAutospacing="0" w:after="120" w:afterAutospacing="0"/>
        <w:rPr>
          <w:b/>
        </w:rPr>
      </w:pPr>
      <w:r w:rsidRPr="00D84221">
        <w:rPr>
          <w:b/>
        </w:rPr>
        <w:t>Duties of an Employee</w:t>
      </w:r>
    </w:p>
    <w:p w14:paraId="3B03FBA2" w14:textId="77777777" w:rsidR="00512CEF" w:rsidRPr="00D84221" w:rsidRDefault="00512CEF" w:rsidP="00512CEF">
      <w:pPr>
        <w:pStyle w:val="shrm-element-p"/>
        <w:spacing w:before="0" w:beforeAutospacing="0" w:after="120" w:afterAutospacing="0"/>
        <w:ind w:left="720"/>
      </w:pPr>
      <w:r w:rsidRPr="00D84221">
        <w:t xml:space="preserve">All reports of illegal and dishonest activities will be promptly submitted to the </w:t>
      </w:r>
      <w:r w:rsidR="0066025B" w:rsidRPr="00D84221">
        <w:t>Auditing Official</w:t>
      </w:r>
      <w:r w:rsidRPr="00D84221">
        <w:t xml:space="preserve"> who is responsible for investigating and coordinating corrective action.</w:t>
      </w:r>
    </w:p>
    <w:p w14:paraId="22D9510B" w14:textId="77777777" w:rsidR="00FD1157" w:rsidRPr="00D84221" w:rsidRDefault="00FD1157" w:rsidP="0061560C">
      <w:pPr>
        <w:pStyle w:val="shrm-element-p"/>
        <w:spacing w:before="0" w:beforeAutospacing="0" w:after="120" w:afterAutospacing="0"/>
        <w:ind w:left="720"/>
      </w:pPr>
      <w:r w:rsidRPr="00D84221">
        <w:t>If an employee has knowledge of</w:t>
      </w:r>
      <w:r w:rsidR="007C0FDA" w:rsidRPr="00D84221">
        <w:t>,</w:t>
      </w:r>
      <w:r w:rsidRPr="00D84221">
        <w:t xml:space="preserve"> or a concern of</w:t>
      </w:r>
      <w:r w:rsidR="007C0FDA" w:rsidRPr="00D84221">
        <w:t>,</w:t>
      </w:r>
      <w:r w:rsidRPr="00D84221">
        <w:t xml:space="preserve"> </w:t>
      </w:r>
      <w:r w:rsidR="004A023E" w:rsidRPr="00D84221">
        <w:t>improper governmental</w:t>
      </w:r>
      <w:r w:rsidR="00E171A1" w:rsidRPr="00D84221">
        <w:t xml:space="preserve"> action, the employee shall make a written report of the activity to the </w:t>
      </w:r>
      <w:r w:rsidR="0066025B" w:rsidRPr="00D84221">
        <w:t>Auditing Official</w:t>
      </w:r>
      <w:r w:rsidR="00E171A1" w:rsidRPr="00D84221">
        <w:t>. T</w:t>
      </w:r>
      <w:r w:rsidRPr="00D84221">
        <w:t>he employee must exercise sound judgment to avoid baseless allegations. An employee who intentionally files a false report of wrongdoing will be subject to discipline up to and including termination.</w:t>
      </w:r>
    </w:p>
    <w:p w14:paraId="0606C8A6" w14:textId="77777777" w:rsidR="0061560C" w:rsidRPr="00D84221" w:rsidRDefault="0061560C" w:rsidP="0061560C">
      <w:pPr>
        <w:pStyle w:val="shrm-element-p"/>
        <w:spacing w:before="0" w:beforeAutospacing="0" w:after="120" w:afterAutospacing="0"/>
        <w:ind w:left="720"/>
      </w:pPr>
      <w:r w:rsidRPr="00D84221">
        <w:t>The whistleblower is not responsible for investigating the activity or for determini</w:t>
      </w:r>
      <w:r w:rsidR="007C0FDA" w:rsidRPr="00D84221">
        <w:t>ng fault or corrective measures;</w:t>
      </w:r>
      <w:r w:rsidRPr="00D84221">
        <w:t xml:space="preserve"> a designated </w:t>
      </w:r>
      <w:r w:rsidR="0066025B" w:rsidRPr="00D84221">
        <w:t>Auditing Official</w:t>
      </w:r>
      <w:r w:rsidRPr="00D84221">
        <w:t xml:space="preserve"> is charged with these responsibilities.</w:t>
      </w:r>
    </w:p>
    <w:p w14:paraId="4D4C3DE1" w14:textId="77777777" w:rsidR="0061560C" w:rsidRPr="00D84221" w:rsidRDefault="0061560C" w:rsidP="0061560C">
      <w:pPr>
        <w:pStyle w:val="shrm-element-p"/>
        <w:spacing w:before="0" w:beforeAutospacing="0" w:after="120" w:afterAutospacing="0"/>
        <w:ind w:left="720"/>
      </w:pPr>
    </w:p>
    <w:p w14:paraId="00EEB5B6" w14:textId="77777777" w:rsidR="0061560C" w:rsidRPr="00D84221" w:rsidRDefault="004A32DA" w:rsidP="0061560C">
      <w:pPr>
        <w:pStyle w:val="shrm-element-p"/>
        <w:numPr>
          <w:ilvl w:val="0"/>
          <w:numId w:val="3"/>
        </w:numPr>
        <w:spacing w:before="0" w:beforeAutospacing="0" w:after="120" w:afterAutospacing="0"/>
        <w:rPr>
          <w:b/>
        </w:rPr>
      </w:pPr>
      <w:r w:rsidRPr="00D84221">
        <w:rPr>
          <w:b/>
        </w:rPr>
        <w:t xml:space="preserve">Defend Trade Secrets Act </w:t>
      </w:r>
      <w:r w:rsidR="00E171A1" w:rsidRPr="00D84221">
        <w:rPr>
          <w:b/>
        </w:rPr>
        <w:t xml:space="preserve">Compliance: </w:t>
      </w:r>
    </w:p>
    <w:p w14:paraId="60BDB9D8" w14:textId="77777777" w:rsidR="00E171A1" w:rsidRPr="00D84221" w:rsidRDefault="00E171A1" w:rsidP="0061560C">
      <w:pPr>
        <w:pStyle w:val="shrm-element-p"/>
        <w:spacing w:before="0" w:beforeAutospacing="0" w:after="120" w:afterAutospacing="0"/>
        <w:ind w:left="720"/>
      </w:pPr>
      <w:r w:rsidRPr="00D84221">
        <w:t>"Immunity from Liability for Confidential Disclosure of a Trade Secret to the Government or in a Court Filing:</w:t>
      </w:r>
    </w:p>
    <w:p w14:paraId="698F6C2F" w14:textId="77777777" w:rsidR="00E171A1" w:rsidRPr="00D84221" w:rsidRDefault="00E171A1" w:rsidP="00512CEF">
      <w:pPr>
        <w:pStyle w:val="shrm-element-p"/>
        <w:spacing w:before="0" w:beforeAutospacing="0" w:after="120" w:afterAutospacing="0"/>
        <w:ind w:left="720"/>
      </w:pPr>
      <w:r w:rsidRPr="00D84221">
        <w:t>(1) Immunity—An individual shall not be held criminally or civilly liable under any federal or state trade secret law for the disclosure of a trade secret that—(A) is made—(</w:t>
      </w:r>
      <w:proofErr w:type="spellStart"/>
      <w:r w:rsidRPr="00D84221">
        <w:t>i</w:t>
      </w:r>
      <w:proofErr w:type="spellEnd"/>
      <w:r w:rsidRPr="00D84221">
        <w:t>) in confidence to a federal, state or local government official, either directly or indirectly, or to an attorney; and</w:t>
      </w:r>
      <w:r w:rsidR="00A5070F" w:rsidRPr="00D84221">
        <w:t>,</w:t>
      </w:r>
      <w:r w:rsidRPr="00D84221">
        <w:t xml:space="preserve"> (ii) solely for the purpose of reporting or investigating a suspected violation of law; or</w:t>
      </w:r>
      <w:r w:rsidR="00A5070F" w:rsidRPr="00D84221">
        <w:t>,</w:t>
      </w:r>
      <w:r w:rsidRPr="00D84221">
        <w:t xml:space="preserve"> (B) is made in a complaint or other document filed in a lawsuit or other proceeding, if such filing is made under seal.</w:t>
      </w:r>
    </w:p>
    <w:p w14:paraId="3E362EC7" w14:textId="77777777" w:rsidR="005D7FBD" w:rsidRPr="00D84221" w:rsidRDefault="00E171A1" w:rsidP="005D7FBD">
      <w:pPr>
        <w:pStyle w:val="shrm-element-p"/>
        <w:spacing w:before="0" w:beforeAutospacing="0" w:after="120" w:afterAutospacing="0"/>
        <w:ind w:left="720"/>
      </w:pPr>
      <w:r w:rsidRPr="00D84221">
        <w:t>(2) Use of Trade Secret Information in Anti-Retaliation Lawsuit—An individual who files a lawsuit for retaliation by an employer for reporting a suspected violation of law may disclose the trade secret to the attorney of the individual and use the trade secret information in the court proceeding, if the individual—(A) files any document containing the trade secret under seal; and</w:t>
      </w:r>
      <w:r w:rsidR="00A5070F" w:rsidRPr="00D84221">
        <w:t>,</w:t>
      </w:r>
      <w:r w:rsidRPr="00D84221">
        <w:t xml:space="preserve"> (B) does not disclose the trade secret, except pursuant to court order."</w:t>
      </w:r>
      <w:r w:rsidR="00294E99" w:rsidRPr="00D84221">
        <w:t xml:space="preserve"> (18 U.S.C. § 1833).</w:t>
      </w:r>
    </w:p>
    <w:p w14:paraId="3FAD4AC1" w14:textId="77777777" w:rsidR="005D7FBD" w:rsidRPr="00D84221" w:rsidRDefault="005D7FBD" w:rsidP="005D7FBD">
      <w:pPr>
        <w:pStyle w:val="shrm-element-p"/>
        <w:spacing w:before="0" w:beforeAutospacing="0" w:after="120" w:afterAutospacing="0"/>
        <w:ind w:left="720"/>
      </w:pPr>
    </w:p>
    <w:p w14:paraId="7619AC5F" w14:textId="77777777" w:rsidR="00367523" w:rsidRPr="00D84221" w:rsidRDefault="00367523" w:rsidP="00367523">
      <w:pPr>
        <w:pStyle w:val="shrm-element-p"/>
        <w:numPr>
          <w:ilvl w:val="0"/>
          <w:numId w:val="3"/>
        </w:numPr>
        <w:spacing w:before="0" w:beforeAutospacing="0" w:after="120" w:afterAutospacing="0"/>
      </w:pPr>
      <w:r w:rsidRPr="00D84221">
        <w:rPr>
          <w:b/>
        </w:rPr>
        <w:t>Employee</w:t>
      </w:r>
      <w:r w:rsidRPr="00D84221">
        <w:t xml:space="preserve"> </w:t>
      </w:r>
      <w:r w:rsidRPr="00D84221">
        <w:rPr>
          <w:b/>
        </w:rPr>
        <w:t>Acknowledgment</w:t>
      </w:r>
      <w:r w:rsidRPr="00D84221">
        <w:t xml:space="preserve"> </w:t>
      </w:r>
    </w:p>
    <w:p w14:paraId="51F6A5AE" w14:textId="0754816C" w:rsidR="00367523" w:rsidRPr="00D84221" w:rsidRDefault="00367523" w:rsidP="00367523">
      <w:pPr>
        <w:pStyle w:val="shrm-element-p"/>
        <w:spacing w:before="0" w:beforeAutospacing="0" w:after="120" w:afterAutospacing="0"/>
        <w:ind w:left="720"/>
      </w:pPr>
      <w:r w:rsidRPr="00D84221">
        <w:t xml:space="preserve">Employees are required to sign a written acknowledgement that they have received, </w:t>
      </w:r>
      <w:proofErr w:type="gramStart"/>
      <w:r w:rsidRPr="00D84221">
        <w:t>read</w:t>
      </w:r>
      <w:proofErr w:type="gramEnd"/>
      <w:r w:rsidRPr="00D84221">
        <w:t xml:space="preserve"> and underst</w:t>
      </w:r>
      <w:r w:rsidR="007C0FDA" w:rsidRPr="00D84221">
        <w:t>and</w:t>
      </w:r>
      <w:r w:rsidRPr="00D84221">
        <w:t xml:space="preserve"> this Policy, and to submit that acknowledgement to the </w:t>
      </w:r>
      <w:r w:rsidR="0066025B" w:rsidRPr="00D84221">
        <w:t>Auditing Official</w:t>
      </w:r>
      <w:r w:rsidRPr="00D84221">
        <w:t xml:space="preserve"> or other designated official of the </w:t>
      </w:r>
      <w:r w:rsidR="00D84221" w:rsidRPr="00D84221">
        <w:rPr>
          <w:b/>
        </w:rPr>
        <w:t>Township</w:t>
      </w:r>
      <w:r w:rsidRPr="00D84221">
        <w:t>. The form that</w:t>
      </w:r>
      <w:r w:rsidR="005D7FBD" w:rsidRPr="00D84221">
        <w:t xml:space="preserve"> follows on page four of this policy </w:t>
      </w:r>
      <w:r w:rsidR="004A32DA" w:rsidRPr="00D84221">
        <w:t>will</w:t>
      </w:r>
      <w:r w:rsidRPr="00D84221">
        <w:t xml:space="preserve"> satisfy this requirement upon receipt.</w:t>
      </w:r>
    </w:p>
    <w:p w14:paraId="7E3EF713" w14:textId="77777777" w:rsidR="00952B08" w:rsidRPr="00D84221" w:rsidRDefault="00952B08" w:rsidP="00E171A1">
      <w:pPr>
        <w:spacing w:after="120" w:line="240" w:lineRule="auto"/>
        <w:rPr>
          <w:rFonts w:ascii="Times New Roman" w:hAnsi="Times New Roman" w:cs="Times New Roman"/>
          <w:sz w:val="24"/>
          <w:szCs w:val="24"/>
        </w:rPr>
      </w:pPr>
    </w:p>
    <w:p w14:paraId="50997F33" w14:textId="77777777" w:rsidR="00512CEF" w:rsidRPr="00D84221" w:rsidRDefault="00512CEF">
      <w:pPr>
        <w:rPr>
          <w:rFonts w:ascii="Times New Roman" w:hAnsi="Times New Roman" w:cs="Times New Roman"/>
          <w:b/>
          <w:sz w:val="24"/>
          <w:szCs w:val="24"/>
        </w:rPr>
      </w:pPr>
      <w:r w:rsidRPr="00D84221">
        <w:rPr>
          <w:rFonts w:ascii="Times New Roman" w:hAnsi="Times New Roman" w:cs="Times New Roman"/>
          <w:b/>
          <w:sz w:val="24"/>
          <w:szCs w:val="24"/>
        </w:rPr>
        <w:br w:type="page"/>
      </w:r>
    </w:p>
    <w:p w14:paraId="2BB1A590" w14:textId="77777777" w:rsidR="0061560C" w:rsidRPr="00D84221" w:rsidRDefault="00512CEF" w:rsidP="00512CEF">
      <w:pPr>
        <w:spacing w:after="120" w:line="240" w:lineRule="auto"/>
        <w:jc w:val="center"/>
        <w:rPr>
          <w:rFonts w:ascii="Times New Roman" w:hAnsi="Times New Roman" w:cs="Times New Roman"/>
          <w:b/>
          <w:sz w:val="24"/>
          <w:szCs w:val="24"/>
        </w:rPr>
      </w:pPr>
      <w:r w:rsidRPr="00D84221">
        <w:rPr>
          <w:rFonts w:ascii="Times New Roman" w:hAnsi="Times New Roman" w:cs="Times New Roman"/>
          <w:b/>
          <w:sz w:val="24"/>
          <w:szCs w:val="24"/>
        </w:rPr>
        <w:lastRenderedPageBreak/>
        <w:t>Employee Acknowledgement of Whistleblower Protection Policy</w:t>
      </w:r>
    </w:p>
    <w:p w14:paraId="59295D94" w14:textId="77777777" w:rsidR="00512CEF" w:rsidRPr="00D84221" w:rsidRDefault="00512CEF" w:rsidP="00512CEF">
      <w:pPr>
        <w:spacing w:after="120" w:line="240" w:lineRule="auto"/>
        <w:rPr>
          <w:rFonts w:ascii="Times New Roman" w:hAnsi="Times New Roman" w:cs="Times New Roman"/>
          <w:sz w:val="24"/>
          <w:szCs w:val="24"/>
        </w:rPr>
      </w:pPr>
    </w:p>
    <w:p w14:paraId="22F7CF8F" w14:textId="206CAA71" w:rsidR="00512CEF" w:rsidRPr="00D84221" w:rsidRDefault="00512CEF" w:rsidP="00512CEF">
      <w:pPr>
        <w:spacing w:after="120" w:line="240" w:lineRule="auto"/>
        <w:rPr>
          <w:rFonts w:ascii="Times New Roman" w:hAnsi="Times New Roman" w:cs="Times New Roman"/>
          <w:i/>
          <w:sz w:val="24"/>
          <w:szCs w:val="24"/>
        </w:rPr>
      </w:pPr>
      <w:r w:rsidRPr="00D84221">
        <w:rPr>
          <w:rFonts w:ascii="Times New Roman" w:hAnsi="Times New Roman" w:cs="Times New Roman"/>
          <w:i/>
          <w:sz w:val="24"/>
          <w:szCs w:val="24"/>
        </w:rPr>
        <w:t xml:space="preserve">I confirm that I have received, </w:t>
      </w:r>
      <w:proofErr w:type="gramStart"/>
      <w:r w:rsidRPr="00D84221">
        <w:rPr>
          <w:rFonts w:ascii="Times New Roman" w:hAnsi="Times New Roman" w:cs="Times New Roman"/>
          <w:i/>
          <w:sz w:val="24"/>
          <w:szCs w:val="24"/>
        </w:rPr>
        <w:t>read</w:t>
      </w:r>
      <w:proofErr w:type="gramEnd"/>
      <w:r w:rsidRPr="00D84221">
        <w:rPr>
          <w:rFonts w:ascii="Times New Roman" w:hAnsi="Times New Roman" w:cs="Times New Roman"/>
          <w:i/>
          <w:sz w:val="24"/>
          <w:szCs w:val="24"/>
        </w:rPr>
        <w:t xml:space="preserve"> and understand the “Whistleblower Protection Policy” for employees of the </w:t>
      </w:r>
      <w:r w:rsidR="00D84221" w:rsidRPr="00D84221">
        <w:rPr>
          <w:rFonts w:ascii="Times New Roman" w:hAnsi="Times New Roman" w:cs="Times New Roman"/>
          <w:b/>
          <w:i/>
          <w:sz w:val="24"/>
          <w:szCs w:val="24"/>
        </w:rPr>
        <w:t>Township</w:t>
      </w:r>
      <w:r w:rsidR="00450109" w:rsidRPr="00D84221">
        <w:rPr>
          <w:rFonts w:ascii="Times New Roman" w:hAnsi="Times New Roman" w:cs="Times New Roman"/>
          <w:b/>
          <w:i/>
          <w:sz w:val="24"/>
          <w:szCs w:val="24"/>
        </w:rPr>
        <w:t xml:space="preserve"> of</w:t>
      </w:r>
      <w:r w:rsidR="00450109" w:rsidRPr="00D84221">
        <w:rPr>
          <w:rFonts w:ascii="Times New Roman" w:hAnsi="Times New Roman" w:cs="Times New Roman"/>
          <w:sz w:val="24"/>
          <w:szCs w:val="24"/>
        </w:rPr>
        <w:t xml:space="preserve"> </w:t>
      </w:r>
      <w:r w:rsidR="0066025B" w:rsidRPr="00D84221">
        <w:rPr>
          <w:rFonts w:ascii="Times New Roman" w:hAnsi="Times New Roman" w:cs="Times New Roman"/>
          <w:sz w:val="24"/>
          <w:szCs w:val="24"/>
        </w:rPr>
        <w:t>______________________________</w:t>
      </w:r>
      <w:r w:rsidRPr="00D84221">
        <w:rPr>
          <w:rFonts w:ascii="Times New Roman" w:hAnsi="Times New Roman" w:cs="Times New Roman"/>
          <w:sz w:val="24"/>
          <w:szCs w:val="24"/>
        </w:rPr>
        <w:t xml:space="preserve">. </w:t>
      </w:r>
    </w:p>
    <w:p w14:paraId="17E25DCB" w14:textId="77777777" w:rsidR="00512CEF" w:rsidRPr="00D84221" w:rsidRDefault="00512CEF" w:rsidP="00512CEF">
      <w:pPr>
        <w:spacing w:after="120" w:line="240" w:lineRule="auto"/>
        <w:rPr>
          <w:rFonts w:ascii="Times New Roman" w:hAnsi="Times New Roman" w:cs="Times New Roman"/>
          <w:i/>
          <w:sz w:val="24"/>
          <w:szCs w:val="24"/>
        </w:rPr>
      </w:pPr>
    </w:p>
    <w:p w14:paraId="6234FB1A" w14:textId="77777777" w:rsidR="00512CEF" w:rsidRPr="00D84221" w:rsidRDefault="00512CEF" w:rsidP="00512CEF">
      <w:pPr>
        <w:spacing w:after="120" w:line="240" w:lineRule="auto"/>
        <w:rPr>
          <w:rFonts w:ascii="Times New Roman" w:hAnsi="Times New Roman" w:cs="Times New Roman"/>
          <w:i/>
          <w:sz w:val="24"/>
          <w:szCs w:val="24"/>
        </w:rPr>
      </w:pPr>
      <w:r w:rsidRPr="00D84221">
        <w:rPr>
          <w:rFonts w:ascii="Times New Roman" w:hAnsi="Times New Roman" w:cs="Times New Roman"/>
          <w:i/>
          <w:sz w:val="24"/>
          <w:szCs w:val="24"/>
        </w:rPr>
        <w:t>I understand that as an employee, it is my responsibility to abide by this Policy. If I have questions about the Policy, I understand it is my responsibility to seek clarification from the prop</w:t>
      </w:r>
      <w:r w:rsidR="00367523" w:rsidRPr="00D84221">
        <w:rPr>
          <w:rFonts w:ascii="Times New Roman" w:hAnsi="Times New Roman" w:cs="Times New Roman"/>
          <w:i/>
          <w:sz w:val="24"/>
          <w:szCs w:val="24"/>
        </w:rPr>
        <w:t>er supervisory department,</w:t>
      </w:r>
      <w:r w:rsidRPr="00D84221">
        <w:rPr>
          <w:rFonts w:ascii="Times New Roman" w:hAnsi="Times New Roman" w:cs="Times New Roman"/>
          <w:i/>
          <w:sz w:val="24"/>
          <w:szCs w:val="24"/>
        </w:rPr>
        <w:t xml:space="preserve"> </w:t>
      </w:r>
      <w:r w:rsidR="00BE52A2" w:rsidRPr="00D84221">
        <w:rPr>
          <w:rFonts w:ascii="Times New Roman" w:hAnsi="Times New Roman" w:cs="Times New Roman"/>
          <w:i/>
          <w:sz w:val="24"/>
          <w:szCs w:val="24"/>
        </w:rPr>
        <w:t xml:space="preserve">the </w:t>
      </w:r>
      <w:r w:rsidR="0066025B" w:rsidRPr="00D84221">
        <w:rPr>
          <w:rFonts w:ascii="Times New Roman" w:hAnsi="Times New Roman" w:cs="Times New Roman"/>
          <w:i/>
          <w:sz w:val="24"/>
          <w:szCs w:val="24"/>
        </w:rPr>
        <w:t>Auditing Official</w:t>
      </w:r>
      <w:r w:rsidR="00BE52A2" w:rsidRPr="00D84221">
        <w:rPr>
          <w:rFonts w:ascii="Times New Roman" w:hAnsi="Times New Roman" w:cs="Times New Roman"/>
          <w:i/>
          <w:sz w:val="24"/>
          <w:szCs w:val="24"/>
        </w:rPr>
        <w:t xml:space="preserve"> </w:t>
      </w:r>
      <w:r w:rsidR="00367523" w:rsidRPr="00D84221">
        <w:rPr>
          <w:rFonts w:ascii="Times New Roman" w:hAnsi="Times New Roman" w:cs="Times New Roman"/>
          <w:i/>
          <w:sz w:val="24"/>
          <w:szCs w:val="24"/>
        </w:rPr>
        <w:t xml:space="preserve">or </w:t>
      </w:r>
      <w:r w:rsidR="00BE52A2" w:rsidRPr="00D84221">
        <w:rPr>
          <w:rFonts w:ascii="Times New Roman" w:hAnsi="Times New Roman" w:cs="Times New Roman"/>
          <w:i/>
          <w:sz w:val="24"/>
          <w:szCs w:val="24"/>
        </w:rPr>
        <w:t xml:space="preserve">the State’s Attorney of </w:t>
      </w:r>
      <w:r w:rsidR="00BE52A2" w:rsidRPr="00D84221">
        <w:rPr>
          <w:rFonts w:ascii="Times New Roman" w:hAnsi="Times New Roman" w:cs="Times New Roman"/>
          <w:b/>
          <w:sz w:val="24"/>
          <w:szCs w:val="24"/>
        </w:rPr>
        <w:t xml:space="preserve">________________________ </w:t>
      </w:r>
      <w:r w:rsidR="00BE52A2" w:rsidRPr="00D84221">
        <w:rPr>
          <w:rFonts w:ascii="Times New Roman" w:hAnsi="Times New Roman" w:cs="Times New Roman"/>
          <w:b/>
          <w:i/>
          <w:sz w:val="24"/>
          <w:szCs w:val="24"/>
        </w:rPr>
        <w:t>[</w:t>
      </w:r>
      <w:r w:rsidR="00E71326" w:rsidRPr="00D84221">
        <w:rPr>
          <w:rFonts w:ascii="Times New Roman" w:hAnsi="Times New Roman" w:cs="Times New Roman"/>
          <w:b/>
          <w:i/>
          <w:sz w:val="24"/>
          <w:szCs w:val="24"/>
        </w:rPr>
        <w:t>Name of C</w:t>
      </w:r>
      <w:r w:rsidR="00367523" w:rsidRPr="00D84221">
        <w:rPr>
          <w:rFonts w:ascii="Times New Roman" w:hAnsi="Times New Roman" w:cs="Times New Roman"/>
          <w:b/>
          <w:i/>
          <w:sz w:val="24"/>
          <w:szCs w:val="24"/>
        </w:rPr>
        <w:t>ounty]</w:t>
      </w:r>
      <w:r w:rsidR="00367523" w:rsidRPr="00D84221">
        <w:rPr>
          <w:rFonts w:ascii="Times New Roman" w:hAnsi="Times New Roman" w:cs="Times New Roman"/>
          <w:sz w:val="24"/>
          <w:szCs w:val="24"/>
        </w:rPr>
        <w:t>.</w:t>
      </w:r>
    </w:p>
    <w:p w14:paraId="259203CA" w14:textId="77777777" w:rsidR="00512CEF" w:rsidRPr="00D84221" w:rsidRDefault="00512CEF" w:rsidP="00512CEF">
      <w:pPr>
        <w:spacing w:after="120" w:line="240" w:lineRule="auto"/>
        <w:rPr>
          <w:rFonts w:ascii="Times New Roman" w:hAnsi="Times New Roman" w:cs="Times New Roman"/>
          <w:sz w:val="24"/>
          <w:szCs w:val="24"/>
        </w:rPr>
      </w:pPr>
    </w:p>
    <w:p w14:paraId="6DA83313" w14:textId="77777777" w:rsidR="00BE52A2" w:rsidRPr="00D84221" w:rsidRDefault="00BE52A2" w:rsidP="00512CEF">
      <w:pPr>
        <w:spacing w:after="120" w:line="240" w:lineRule="auto"/>
        <w:rPr>
          <w:rFonts w:ascii="Times New Roman" w:hAnsi="Times New Roman" w:cs="Times New Roman"/>
          <w:sz w:val="24"/>
          <w:szCs w:val="24"/>
        </w:rPr>
      </w:pPr>
    </w:p>
    <w:p w14:paraId="68BC3FCF" w14:textId="77777777" w:rsidR="00512CEF" w:rsidRPr="00D84221" w:rsidRDefault="00512CEF" w:rsidP="00512CEF">
      <w:pPr>
        <w:spacing w:after="120" w:line="240" w:lineRule="auto"/>
        <w:rPr>
          <w:rFonts w:ascii="Times New Roman" w:hAnsi="Times New Roman" w:cs="Times New Roman"/>
          <w:sz w:val="24"/>
          <w:szCs w:val="24"/>
        </w:rPr>
      </w:pPr>
      <w:r w:rsidRPr="00D84221">
        <w:rPr>
          <w:rFonts w:ascii="Times New Roman" w:hAnsi="Times New Roman" w:cs="Times New Roman"/>
          <w:sz w:val="24"/>
          <w:szCs w:val="24"/>
        </w:rPr>
        <w:t xml:space="preserve">Print Name: __________________________________________________________ </w:t>
      </w:r>
    </w:p>
    <w:p w14:paraId="18E8D539" w14:textId="77777777" w:rsidR="00512CEF" w:rsidRPr="00D84221" w:rsidRDefault="00512CEF" w:rsidP="00512CEF">
      <w:pPr>
        <w:spacing w:after="120" w:line="240" w:lineRule="auto"/>
        <w:rPr>
          <w:rFonts w:ascii="Times New Roman" w:hAnsi="Times New Roman" w:cs="Times New Roman"/>
          <w:sz w:val="24"/>
          <w:szCs w:val="24"/>
        </w:rPr>
      </w:pPr>
    </w:p>
    <w:p w14:paraId="3748AA33" w14:textId="77777777" w:rsidR="00512CEF" w:rsidRPr="00D84221" w:rsidRDefault="00512CEF" w:rsidP="00512CEF">
      <w:pPr>
        <w:spacing w:after="120" w:line="240" w:lineRule="auto"/>
        <w:rPr>
          <w:rFonts w:ascii="Times New Roman" w:hAnsi="Times New Roman" w:cs="Times New Roman"/>
          <w:sz w:val="24"/>
          <w:szCs w:val="24"/>
        </w:rPr>
      </w:pPr>
      <w:r w:rsidRPr="00D84221">
        <w:rPr>
          <w:rFonts w:ascii="Times New Roman" w:hAnsi="Times New Roman" w:cs="Times New Roman"/>
          <w:sz w:val="24"/>
          <w:szCs w:val="24"/>
        </w:rPr>
        <w:t xml:space="preserve">Employee Signature: ___________________________________________________ </w:t>
      </w:r>
    </w:p>
    <w:p w14:paraId="79B62CBB" w14:textId="77777777" w:rsidR="00512CEF" w:rsidRPr="00D84221" w:rsidRDefault="00512CEF" w:rsidP="00512CEF">
      <w:pPr>
        <w:spacing w:after="120" w:line="240" w:lineRule="auto"/>
        <w:rPr>
          <w:rFonts w:ascii="Times New Roman" w:hAnsi="Times New Roman" w:cs="Times New Roman"/>
          <w:sz w:val="24"/>
          <w:szCs w:val="24"/>
        </w:rPr>
      </w:pPr>
    </w:p>
    <w:p w14:paraId="5CDF09B4" w14:textId="77777777" w:rsidR="00512CEF" w:rsidRPr="00D84221" w:rsidRDefault="00512CEF" w:rsidP="00512CEF">
      <w:pPr>
        <w:spacing w:after="120" w:line="240" w:lineRule="auto"/>
        <w:rPr>
          <w:rFonts w:ascii="Times New Roman" w:hAnsi="Times New Roman" w:cs="Times New Roman"/>
          <w:sz w:val="24"/>
          <w:szCs w:val="24"/>
        </w:rPr>
      </w:pPr>
      <w:r w:rsidRPr="00D84221">
        <w:rPr>
          <w:rFonts w:ascii="Times New Roman" w:hAnsi="Times New Roman" w:cs="Times New Roman"/>
          <w:sz w:val="24"/>
          <w:szCs w:val="24"/>
        </w:rPr>
        <w:t>Date: _______________________________________________________________</w:t>
      </w:r>
    </w:p>
    <w:sectPr w:rsidR="00512CEF" w:rsidRPr="00D842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9E47" w14:textId="77777777" w:rsidR="00B209D6" w:rsidRDefault="00B209D6" w:rsidP="00512CEF">
      <w:pPr>
        <w:spacing w:after="0" w:line="240" w:lineRule="auto"/>
      </w:pPr>
      <w:r>
        <w:separator/>
      </w:r>
    </w:p>
  </w:endnote>
  <w:endnote w:type="continuationSeparator" w:id="0">
    <w:p w14:paraId="045F5385" w14:textId="77777777" w:rsidR="00B209D6" w:rsidRDefault="00B209D6" w:rsidP="0051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DBA8" w14:textId="30F1ABEF" w:rsidR="00DC5788" w:rsidRPr="0066025B" w:rsidRDefault="00DC5788" w:rsidP="0066025B">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C3BF" w14:textId="77777777" w:rsidR="00B209D6" w:rsidRDefault="00B209D6" w:rsidP="00512CEF">
      <w:pPr>
        <w:spacing w:after="0" w:line="240" w:lineRule="auto"/>
      </w:pPr>
      <w:r>
        <w:separator/>
      </w:r>
    </w:p>
  </w:footnote>
  <w:footnote w:type="continuationSeparator" w:id="0">
    <w:p w14:paraId="48183A93" w14:textId="77777777" w:rsidR="00B209D6" w:rsidRDefault="00B209D6" w:rsidP="00512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441F"/>
    <w:multiLevelType w:val="hybridMultilevel"/>
    <w:tmpl w:val="1706AB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466B86"/>
    <w:multiLevelType w:val="hybridMultilevel"/>
    <w:tmpl w:val="0854C87E"/>
    <w:lvl w:ilvl="0" w:tplc="46769840">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4530A1"/>
    <w:multiLevelType w:val="hybridMultilevel"/>
    <w:tmpl w:val="9D1CEB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C3EA4"/>
    <w:multiLevelType w:val="hybridMultilevel"/>
    <w:tmpl w:val="A7EA5DC4"/>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97A53"/>
    <w:multiLevelType w:val="hybridMultilevel"/>
    <w:tmpl w:val="15526AC6"/>
    <w:lvl w:ilvl="0" w:tplc="BBAAFC66">
      <w:start w:val="1"/>
      <w:numFmt w:val="upp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9635D9"/>
    <w:multiLevelType w:val="hybridMultilevel"/>
    <w:tmpl w:val="EF401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F46ABA"/>
    <w:multiLevelType w:val="hybridMultilevel"/>
    <w:tmpl w:val="3C0860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F32062"/>
    <w:multiLevelType w:val="hybridMultilevel"/>
    <w:tmpl w:val="845C48C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
  </w:num>
  <w:num w:numId="3">
    <w:abstractNumId w:val="1"/>
  </w:num>
  <w:num w:numId="4">
    <w:abstractNumId w:val="0"/>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07"/>
    <w:rsid w:val="000E3680"/>
    <w:rsid w:val="000E573B"/>
    <w:rsid w:val="00206907"/>
    <w:rsid w:val="00256BD8"/>
    <w:rsid w:val="00294E99"/>
    <w:rsid w:val="002A0097"/>
    <w:rsid w:val="002E1688"/>
    <w:rsid w:val="00301EEC"/>
    <w:rsid w:val="00367523"/>
    <w:rsid w:val="003D4301"/>
    <w:rsid w:val="00450109"/>
    <w:rsid w:val="004A023E"/>
    <w:rsid w:val="004A32DA"/>
    <w:rsid w:val="004D3F07"/>
    <w:rsid w:val="00512CEF"/>
    <w:rsid w:val="005567EC"/>
    <w:rsid w:val="005D7FBD"/>
    <w:rsid w:val="0061560C"/>
    <w:rsid w:val="00637C99"/>
    <w:rsid w:val="0066025B"/>
    <w:rsid w:val="007C0FDA"/>
    <w:rsid w:val="007E0635"/>
    <w:rsid w:val="00867DC0"/>
    <w:rsid w:val="008F6933"/>
    <w:rsid w:val="00921370"/>
    <w:rsid w:val="00952B08"/>
    <w:rsid w:val="009F554F"/>
    <w:rsid w:val="00A5070F"/>
    <w:rsid w:val="00B209D6"/>
    <w:rsid w:val="00B65B65"/>
    <w:rsid w:val="00BE52A2"/>
    <w:rsid w:val="00D84221"/>
    <w:rsid w:val="00DC5788"/>
    <w:rsid w:val="00E171A1"/>
    <w:rsid w:val="00E63BFB"/>
    <w:rsid w:val="00E71326"/>
    <w:rsid w:val="00EC0B44"/>
    <w:rsid w:val="00F6666B"/>
    <w:rsid w:val="00FB0452"/>
    <w:rsid w:val="00FD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86DE"/>
  <w15:chartTrackingRefBased/>
  <w15:docId w15:val="{DF8CF020-38FD-4AB7-B646-FE19A32F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rm-element-p">
    <w:name w:val="shrm-element-p"/>
    <w:basedOn w:val="Normal"/>
    <w:rsid w:val="00FD11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2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CEF"/>
  </w:style>
  <w:style w:type="paragraph" w:styleId="Footer">
    <w:name w:val="footer"/>
    <w:basedOn w:val="Normal"/>
    <w:link w:val="FooterChar"/>
    <w:uiPriority w:val="99"/>
    <w:unhideWhenUsed/>
    <w:rsid w:val="00512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82935">
      <w:bodyDiv w:val="1"/>
      <w:marLeft w:val="0"/>
      <w:marRight w:val="0"/>
      <w:marTop w:val="0"/>
      <w:marBottom w:val="0"/>
      <w:divBdr>
        <w:top w:val="none" w:sz="0" w:space="0" w:color="auto"/>
        <w:left w:val="none" w:sz="0" w:space="0" w:color="auto"/>
        <w:bottom w:val="none" w:sz="0" w:space="0" w:color="auto"/>
        <w:right w:val="none" w:sz="0" w:space="0" w:color="auto"/>
      </w:divBdr>
      <w:divsChild>
        <w:div w:id="92210255">
          <w:marLeft w:val="0"/>
          <w:marRight w:val="0"/>
          <w:marTop w:val="0"/>
          <w:marBottom w:val="0"/>
          <w:divBdr>
            <w:top w:val="none" w:sz="0" w:space="0" w:color="auto"/>
            <w:left w:val="none" w:sz="0" w:space="0" w:color="auto"/>
            <w:bottom w:val="none" w:sz="0" w:space="0" w:color="auto"/>
            <w:right w:val="none" w:sz="0" w:space="0" w:color="auto"/>
          </w:divBdr>
          <w:divsChild>
            <w:div w:id="423495477">
              <w:marLeft w:val="0"/>
              <w:marRight w:val="0"/>
              <w:marTop w:val="0"/>
              <w:marBottom w:val="0"/>
              <w:divBdr>
                <w:top w:val="none" w:sz="0" w:space="0" w:color="auto"/>
                <w:left w:val="none" w:sz="0" w:space="0" w:color="auto"/>
                <w:bottom w:val="none" w:sz="0" w:space="0" w:color="auto"/>
                <w:right w:val="none" w:sz="0" w:space="0" w:color="auto"/>
              </w:divBdr>
            </w:div>
          </w:divsChild>
        </w:div>
        <w:div w:id="1455248796">
          <w:blockQuote w:val="1"/>
          <w:marLeft w:val="600"/>
          <w:marRight w:val="0"/>
          <w:marTop w:val="0"/>
          <w:marBottom w:val="0"/>
          <w:divBdr>
            <w:top w:val="none" w:sz="0" w:space="0" w:color="auto"/>
            <w:left w:val="none" w:sz="0" w:space="0" w:color="auto"/>
            <w:bottom w:val="none" w:sz="0" w:space="0" w:color="auto"/>
            <w:right w:val="none" w:sz="0" w:space="0" w:color="auto"/>
          </w:divBdr>
          <w:divsChild>
            <w:div w:id="309284871">
              <w:marLeft w:val="0"/>
              <w:marRight w:val="0"/>
              <w:marTop w:val="0"/>
              <w:marBottom w:val="0"/>
              <w:divBdr>
                <w:top w:val="none" w:sz="0" w:space="0" w:color="auto"/>
                <w:left w:val="none" w:sz="0" w:space="0" w:color="auto"/>
                <w:bottom w:val="none" w:sz="0" w:space="0" w:color="auto"/>
                <w:right w:val="none" w:sz="0" w:space="0" w:color="auto"/>
              </w:divBdr>
              <w:divsChild>
                <w:div w:id="1514109507">
                  <w:marLeft w:val="0"/>
                  <w:marRight w:val="0"/>
                  <w:marTop w:val="0"/>
                  <w:marBottom w:val="0"/>
                  <w:divBdr>
                    <w:top w:val="none" w:sz="0" w:space="0" w:color="auto"/>
                    <w:left w:val="none" w:sz="0" w:space="0" w:color="auto"/>
                    <w:bottom w:val="none" w:sz="0" w:space="0" w:color="auto"/>
                    <w:right w:val="none" w:sz="0" w:space="0" w:color="auto"/>
                  </w:divBdr>
                </w:div>
              </w:divsChild>
            </w:div>
            <w:div w:id="1483504941">
              <w:marLeft w:val="0"/>
              <w:marRight w:val="0"/>
              <w:marTop w:val="0"/>
              <w:marBottom w:val="0"/>
              <w:divBdr>
                <w:top w:val="none" w:sz="0" w:space="0" w:color="auto"/>
                <w:left w:val="none" w:sz="0" w:space="0" w:color="auto"/>
                <w:bottom w:val="none" w:sz="0" w:space="0" w:color="auto"/>
                <w:right w:val="none" w:sz="0" w:space="0" w:color="auto"/>
              </w:divBdr>
              <w:divsChild>
                <w:div w:id="7127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80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C361-92E7-4A6C-B858-3A9D8821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Aherne</dc:creator>
  <cp:keywords/>
  <dc:description/>
  <cp:lastModifiedBy>Kayla Jeffers</cp:lastModifiedBy>
  <cp:revision>4</cp:revision>
  <cp:lastPrinted>2021-08-02T21:34:00Z</cp:lastPrinted>
  <dcterms:created xsi:type="dcterms:W3CDTF">2021-11-12T15:16:00Z</dcterms:created>
  <dcterms:modified xsi:type="dcterms:W3CDTF">2021-11-12T22:22:00Z</dcterms:modified>
</cp:coreProperties>
</file>