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2C9631" w14:textId="48D4AEF6" w:rsidR="005D0650" w:rsidRDefault="005D0650" w:rsidP="005D0650">
      <w:bookmarkStart w:id="0" w:name="_GoBack"/>
      <w:r>
        <w:rPr>
          <w:noProof/>
        </w:rPr>
        <w:drawing>
          <wp:inline distT="0" distB="0" distL="0" distR="0" wp14:anchorId="71EA2F7C" wp14:editId="5955BA30">
            <wp:extent cx="5943600" cy="978535"/>
            <wp:effectExtent l="0" t="0" r="0" b="0"/>
            <wp:docPr id="1" name="Picture 1" descr="BrownHayStevens_Logo_CMYK_wTagl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ownHayStevens_Logo_CMYK_wTaglin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978535"/>
                    </a:xfrm>
                    <a:prstGeom prst="rect">
                      <a:avLst/>
                    </a:prstGeom>
                    <a:noFill/>
                    <a:ln>
                      <a:noFill/>
                    </a:ln>
                  </pic:spPr>
                </pic:pic>
              </a:graphicData>
            </a:graphic>
          </wp:inline>
        </w:drawing>
      </w:r>
      <w:bookmarkEnd w:id="0"/>
    </w:p>
    <w:p w14:paraId="098AB03E" w14:textId="77777777" w:rsidR="005D0650" w:rsidRDefault="005D0650" w:rsidP="005D0650"/>
    <w:p w14:paraId="2897F738" w14:textId="77777777" w:rsidR="005D0650" w:rsidRDefault="005D0650" w:rsidP="005D0650"/>
    <w:p w14:paraId="68F3D7C3" w14:textId="77777777" w:rsidR="005D0650" w:rsidRDefault="005D0650" w:rsidP="005D0650"/>
    <w:p w14:paraId="6DA94B6C" w14:textId="77777777" w:rsidR="005D0650" w:rsidRDefault="005D0650" w:rsidP="005D0650"/>
    <w:p w14:paraId="12BF6A8B" w14:textId="77777777" w:rsidR="005D0650" w:rsidRDefault="005D0650" w:rsidP="005D0650"/>
    <w:p w14:paraId="54671729" w14:textId="77777777" w:rsidR="005D0650" w:rsidRDefault="005D0650" w:rsidP="005D0650"/>
    <w:p w14:paraId="11F0505F" w14:textId="77777777" w:rsidR="005D0650" w:rsidRDefault="005D0650" w:rsidP="005D0650"/>
    <w:p w14:paraId="4B480322" w14:textId="77777777" w:rsidR="005D0650" w:rsidRDefault="005D0650" w:rsidP="005D0650"/>
    <w:p w14:paraId="24AD1927" w14:textId="77777777" w:rsidR="005D0650" w:rsidRDefault="005D0650" w:rsidP="005D0650"/>
    <w:p w14:paraId="1FAAB2EE" w14:textId="77777777" w:rsidR="005D0650" w:rsidRDefault="005D0650" w:rsidP="005D0650">
      <w:pPr>
        <w:jc w:val="center"/>
        <w:rPr>
          <w:sz w:val="36"/>
          <w:szCs w:val="36"/>
        </w:rPr>
      </w:pPr>
      <w:r>
        <w:rPr>
          <w:b/>
          <w:sz w:val="64"/>
          <w:szCs w:val="64"/>
        </w:rPr>
        <w:t>Road Use Agreements</w:t>
      </w:r>
    </w:p>
    <w:p w14:paraId="729F0C0E" w14:textId="77777777" w:rsidR="005D0650" w:rsidRDefault="005D0650" w:rsidP="005D0650">
      <w:pPr>
        <w:jc w:val="center"/>
        <w:rPr>
          <w:sz w:val="36"/>
          <w:szCs w:val="36"/>
        </w:rPr>
      </w:pPr>
    </w:p>
    <w:p w14:paraId="5A9E6CBF" w14:textId="77777777" w:rsidR="005D0650" w:rsidRDefault="005D0650" w:rsidP="005D0650">
      <w:pPr>
        <w:jc w:val="center"/>
        <w:rPr>
          <w:sz w:val="36"/>
          <w:szCs w:val="36"/>
        </w:rPr>
      </w:pPr>
    </w:p>
    <w:p w14:paraId="0ABEB860" w14:textId="77777777" w:rsidR="005D0650" w:rsidRDefault="005D0650" w:rsidP="005D0650">
      <w:pPr>
        <w:jc w:val="center"/>
        <w:rPr>
          <w:sz w:val="36"/>
          <w:szCs w:val="36"/>
        </w:rPr>
      </w:pPr>
    </w:p>
    <w:p w14:paraId="51B3FE4F" w14:textId="77777777" w:rsidR="005D0650" w:rsidRDefault="005D0650" w:rsidP="005D0650">
      <w:pPr>
        <w:jc w:val="center"/>
        <w:rPr>
          <w:sz w:val="36"/>
          <w:szCs w:val="36"/>
        </w:rPr>
      </w:pPr>
    </w:p>
    <w:p w14:paraId="013008D3" w14:textId="77777777" w:rsidR="005D0650" w:rsidRDefault="005D0650" w:rsidP="005D0650">
      <w:pPr>
        <w:jc w:val="center"/>
        <w:rPr>
          <w:sz w:val="36"/>
          <w:szCs w:val="36"/>
        </w:rPr>
      </w:pPr>
    </w:p>
    <w:p w14:paraId="2ACF3E40" w14:textId="77777777" w:rsidR="005D0650" w:rsidRDefault="005D0650" w:rsidP="005D0650">
      <w:pPr>
        <w:jc w:val="center"/>
        <w:rPr>
          <w:sz w:val="36"/>
          <w:szCs w:val="36"/>
        </w:rPr>
      </w:pPr>
    </w:p>
    <w:p w14:paraId="6B93EE8C" w14:textId="77777777" w:rsidR="005D0650" w:rsidRDefault="005D0650" w:rsidP="005D0650">
      <w:pPr>
        <w:jc w:val="center"/>
        <w:rPr>
          <w:sz w:val="36"/>
          <w:szCs w:val="36"/>
        </w:rPr>
      </w:pPr>
    </w:p>
    <w:p w14:paraId="25335946" w14:textId="77777777" w:rsidR="005D0650" w:rsidRDefault="005D0650" w:rsidP="005D0650">
      <w:pPr>
        <w:jc w:val="center"/>
        <w:rPr>
          <w:sz w:val="36"/>
          <w:szCs w:val="36"/>
        </w:rPr>
      </w:pPr>
    </w:p>
    <w:p w14:paraId="3DF49D95" w14:textId="77777777" w:rsidR="005D0650" w:rsidRDefault="005D0650" w:rsidP="005D0650">
      <w:pPr>
        <w:jc w:val="center"/>
        <w:rPr>
          <w:sz w:val="36"/>
          <w:szCs w:val="36"/>
        </w:rPr>
      </w:pPr>
    </w:p>
    <w:p w14:paraId="6C4E3E15" w14:textId="77777777" w:rsidR="005D0650" w:rsidRDefault="005D0650" w:rsidP="005D0650">
      <w:pPr>
        <w:jc w:val="center"/>
        <w:rPr>
          <w:b/>
          <w:sz w:val="28"/>
          <w:szCs w:val="28"/>
        </w:rPr>
      </w:pPr>
      <w:r>
        <w:rPr>
          <w:b/>
          <w:sz w:val="28"/>
          <w:szCs w:val="28"/>
        </w:rPr>
        <w:t>Presented by:</w:t>
      </w:r>
    </w:p>
    <w:p w14:paraId="10B0AD7C" w14:textId="77777777" w:rsidR="005D0650" w:rsidRDefault="005D0650" w:rsidP="005D0650">
      <w:pPr>
        <w:jc w:val="center"/>
        <w:rPr>
          <w:b/>
          <w:sz w:val="28"/>
          <w:szCs w:val="28"/>
        </w:rPr>
      </w:pPr>
      <w:r>
        <w:rPr>
          <w:b/>
          <w:sz w:val="28"/>
          <w:szCs w:val="28"/>
        </w:rPr>
        <w:t>Brown, Hay &amp; Stephens, LLP</w:t>
      </w:r>
    </w:p>
    <w:p w14:paraId="64FC1947" w14:textId="77777777" w:rsidR="005D0650" w:rsidRDefault="005D0650" w:rsidP="005D0650">
      <w:pPr>
        <w:jc w:val="center"/>
        <w:rPr>
          <w:b/>
          <w:sz w:val="28"/>
          <w:szCs w:val="28"/>
        </w:rPr>
      </w:pPr>
      <w:r>
        <w:rPr>
          <w:b/>
          <w:sz w:val="28"/>
          <w:szCs w:val="28"/>
        </w:rPr>
        <w:t>205 S. Fifth Street, Suite 700</w:t>
      </w:r>
    </w:p>
    <w:p w14:paraId="3662B194" w14:textId="77777777" w:rsidR="005D0650" w:rsidRDefault="005D0650" w:rsidP="005D0650">
      <w:pPr>
        <w:jc w:val="center"/>
        <w:rPr>
          <w:b/>
          <w:sz w:val="28"/>
          <w:szCs w:val="28"/>
        </w:rPr>
      </w:pPr>
      <w:r>
        <w:rPr>
          <w:b/>
          <w:sz w:val="28"/>
          <w:szCs w:val="28"/>
        </w:rPr>
        <w:t>P.O. Box 2459</w:t>
      </w:r>
    </w:p>
    <w:p w14:paraId="03434D1E" w14:textId="77777777" w:rsidR="005D0650" w:rsidRDefault="005D0650" w:rsidP="005D0650">
      <w:pPr>
        <w:jc w:val="center"/>
        <w:rPr>
          <w:b/>
          <w:sz w:val="28"/>
          <w:szCs w:val="28"/>
        </w:rPr>
      </w:pPr>
      <w:r>
        <w:rPr>
          <w:b/>
          <w:sz w:val="28"/>
          <w:szCs w:val="28"/>
        </w:rPr>
        <w:t xml:space="preserve">Springfield, </w:t>
      </w:r>
      <w:proofErr w:type="gramStart"/>
      <w:r>
        <w:rPr>
          <w:b/>
          <w:sz w:val="28"/>
          <w:szCs w:val="28"/>
        </w:rPr>
        <w:t>Illinois  62705</w:t>
      </w:r>
      <w:proofErr w:type="gramEnd"/>
    </w:p>
    <w:p w14:paraId="47F21CEA" w14:textId="77777777" w:rsidR="005D0650" w:rsidRDefault="005D0650" w:rsidP="005D0650">
      <w:pPr>
        <w:jc w:val="center"/>
        <w:rPr>
          <w:b/>
          <w:sz w:val="28"/>
          <w:szCs w:val="28"/>
        </w:rPr>
      </w:pPr>
      <w:r>
        <w:rPr>
          <w:b/>
          <w:sz w:val="28"/>
          <w:szCs w:val="28"/>
        </w:rPr>
        <w:t>(217) 544-8491</w:t>
      </w:r>
    </w:p>
    <w:p w14:paraId="2E4C0C83" w14:textId="77777777" w:rsidR="005D0650" w:rsidRDefault="005D0650" w:rsidP="005D0650">
      <w:pPr>
        <w:jc w:val="center"/>
        <w:rPr>
          <w:b/>
          <w:sz w:val="28"/>
          <w:szCs w:val="28"/>
        </w:rPr>
      </w:pPr>
      <w:r>
        <w:rPr>
          <w:b/>
          <w:sz w:val="28"/>
          <w:szCs w:val="28"/>
        </w:rPr>
        <w:t>Fax</w:t>
      </w:r>
      <w:proofErr w:type="gramStart"/>
      <w:r>
        <w:rPr>
          <w:b/>
          <w:sz w:val="28"/>
          <w:szCs w:val="28"/>
        </w:rPr>
        <w:t>:  (</w:t>
      </w:r>
      <w:proofErr w:type="gramEnd"/>
      <w:r>
        <w:rPr>
          <w:b/>
          <w:sz w:val="28"/>
          <w:szCs w:val="28"/>
        </w:rPr>
        <w:t>217) 544-9609</w:t>
      </w:r>
    </w:p>
    <w:p w14:paraId="3688BD5B" w14:textId="77777777" w:rsidR="005D0650" w:rsidRDefault="005D0650" w:rsidP="005D0650">
      <w:pPr>
        <w:jc w:val="center"/>
        <w:rPr>
          <w:rStyle w:val="Hyperlink"/>
        </w:rPr>
      </w:pPr>
      <w:hyperlink r:id="rId8" w:history="1">
        <w:r>
          <w:rPr>
            <w:rStyle w:val="Hyperlink"/>
            <w:b/>
            <w:sz w:val="28"/>
            <w:szCs w:val="28"/>
          </w:rPr>
          <w:t>www.bhslaw.com</w:t>
        </w:r>
      </w:hyperlink>
    </w:p>
    <w:p w14:paraId="36D515A4" w14:textId="77777777" w:rsidR="005D0650" w:rsidRDefault="005D0650" w:rsidP="005D0650">
      <w:pPr>
        <w:jc w:val="center"/>
        <w:rPr>
          <w:rStyle w:val="Hyperlink"/>
          <w:b/>
          <w:sz w:val="28"/>
          <w:szCs w:val="28"/>
        </w:rPr>
      </w:pPr>
    </w:p>
    <w:p w14:paraId="27ABF64B" w14:textId="77777777" w:rsidR="005D0650" w:rsidRDefault="005D0650" w:rsidP="005D0650">
      <w:pPr>
        <w:jc w:val="center"/>
        <w:rPr>
          <w:rStyle w:val="Hyperlink"/>
          <w:b/>
          <w:sz w:val="28"/>
          <w:szCs w:val="28"/>
        </w:rPr>
      </w:pPr>
    </w:p>
    <w:p w14:paraId="0B145A30" w14:textId="2248DFF2" w:rsidR="005D0650" w:rsidRDefault="005D0650" w:rsidP="005D0650">
      <w:pPr>
        <w:jc w:val="center"/>
        <w:rPr>
          <w:sz w:val="64"/>
          <w:szCs w:val="64"/>
        </w:rPr>
      </w:pPr>
    </w:p>
    <w:p w14:paraId="60C412D1" w14:textId="77777777" w:rsidR="005D0650" w:rsidRDefault="005D0650" w:rsidP="005D0650">
      <w:pPr>
        <w:jc w:val="center"/>
        <w:rPr>
          <w:sz w:val="64"/>
          <w:szCs w:val="64"/>
        </w:rPr>
      </w:pPr>
    </w:p>
    <w:p w14:paraId="7669F981" w14:textId="0CF0A254" w:rsidR="00F2543F" w:rsidRPr="00380DD0" w:rsidRDefault="004233B4" w:rsidP="00A933FE">
      <w:pPr>
        <w:jc w:val="center"/>
        <w:rPr>
          <w:rFonts w:cs="Times New Roman"/>
          <w:b/>
          <w:sz w:val="32"/>
          <w:szCs w:val="32"/>
          <w:u w:val="single"/>
        </w:rPr>
      </w:pPr>
      <w:r w:rsidRPr="00380DD0">
        <w:rPr>
          <w:rFonts w:cs="Times New Roman"/>
          <w:b/>
          <w:sz w:val="32"/>
          <w:szCs w:val="32"/>
          <w:u w:val="single"/>
        </w:rPr>
        <w:t>Road Use Agreement</w:t>
      </w:r>
      <w:r w:rsidR="00380DD0">
        <w:rPr>
          <w:rFonts w:cs="Times New Roman"/>
          <w:b/>
          <w:sz w:val="32"/>
          <w:szCs w:val="32"/>
          <w:u w:val="single"/>
        </w:rPr>
        <w:t>s</w:t>
      </w:r>
    </w:p>
    <w:p w14:paraId="0836BD2E" w14:textId="2DA0CFAB" w:rsidR="0019712B" w:rsidRDefault="0019712B">
      <w:pPr>
        <w:rPr>
          <w:rFonts w:cs="Times New Roman"/>
          <w:b/>
          <w:szCs w:val="24"/>
        </w:rPr>
      </w:pPr>
    </w:p>
    <w:p w14:paraId="0D4B9762" w14:textId="29364B00" w:rsidR="0019712B" w:rsidRPr="00CA0E24" w:rsidRDefault="00CA0E24" w:rsidP="00CA0E24">
      <w:pPr>
        <w:pStyle w:val="ListParagraph"/>
        <w:numPr>
          <w:ilvl w:val="0"/>
          <w:numId w:val="23"/>
        </w:numPr>
        <w:ind w:left="720"/>
        <w:rPr>
          <w:rFonts w:cs="Times New Roman"/>
          <w:szCs w:val="24"/>
          <w:u w:val="single"/>
        </w:rPr>
      </w:pPr>
      <w:r w:rsidRPr="00CA0E24">
        <w:rPr>
          <w:rFonts w:cs="Times New Roman"/>
          <w:szCs w:val="24"/>
          <w:u w:val="single"/>
        </w:rPr>
        <w:t>Road Use Agreements: An Overview</w:t>
      </w:r>
    </w:p>
    <w:p w14:paraId="39170FF3" w14:textId="77777777" w:rsidR="00A933FE" w:rsidRPr="0019712B" w:rsidRDefault="00A933FE">
      <w:pPr>
        <w:rPr>
          <w:rFonts w:cs="Times New Roman"/>
          <w:b/>
          <w:szCs w:val="24"/>
          <w:u w:val="single"/>
        </w:rPr>
      </w:pPr>
    </w:p>
    <w:p w14:paraId="2078753C" w14:textId="53B55050" w:rsidR="004233B4" w:rsidRDefault="004233B4" w:rsidP="00CA0E24">
      <w:pPr>
        <w:pStyle w:val="ListParagraph"/>
        <w:numPr>
          <w:ilvl w:val="0"/>
          <w:numId w:val="6"/>
        </w:numPr>
        <w:ind w:left="1440" w:hanging="720"/>
        <w:jc w:val="both"/>
        <w:rPr>
          <w:rFonts w:cs="Times New Roman"/>
          <w:szCs w:val="24"/>
        </w:rPr>
      </w:pPr>
      <w:r w:rsidRPr="0019712B">
        <w:rPr>
          <w:rFonts w:cs="Times New Roman"/>
          <w:szCs w:val="24"/>
        </w:rPr>
        <w:t>Road Use Agreement</w:t>
      </w:r>
      <w:r w:rsidR="00871272">
        <w:rPr>
          <w:rFonts w:cs="Times New Roman"/>
          <w:szCs w:val="24"/>
        </w:rPr>
        <w:t>s</w:t>
      </w:r>
      <w:r w:rsidR="004F4C33" w:rsidRPr="0019712B">
        <w:rPr>
          <w:rFonts w:cs="Times New Roman"/>
          <w:szCs w:val="24"/>
        </w:rPr>
        <w:t xml:space="preserve"> (“RUA</w:t>
      </w:r>
      <w:r w:rsidR="00871272">
        <w:rPr>
          <w:rFonts w:cs="Times New Roman"/>
          <w:szCs w:val="24"/>
        </w:rPr>
        <w:t>s</w:t>
      </w:r>
      <w:r w:rsidR="004F4C33" w:rsidRPr="0019712B">
        <w:rPr>
          <w:rFonts w:cs="Times New Roman"/>
          <w:szCs w:val="24"/>
        </w:rPr>
        <w:t>”)</w:t>
      </w:r>
      <w:r w:rsidRPr="0019712B">
        <w:rPr>
          <w:rFonts w:cs="Times New Roman"/>
          <w:szCs w:val="24"/>
        </w:rPr>
        <w:t xml:space="preserve"> </w:t>
      </w:r>
      <w:r w:rsidR="00871272">
        <w:rPr>
          <w:rFonts w:cs="Times New Roman"/>
          <w:szCs w:val="24"/>
        </w:rPr>
        <w:t>are</w:t>
      </w:r>
      <w:r w:rsidR="000579C8" w:rsidRPr="0019712B">
        <w:rPr>
          <w:rFonts w:cs="Times New Roman"/>
          <w:szCs w:val="24"/>
        </w:rPr>
        <w:t xml:space="preserve"> contractual arrangement</w:t>
      </w:r>
      <w:r w:rsidR="00871272">
        <w:rPr>
          <w:rFonts w:cs="Times New Roman"/>
          <w:szCs w:val="24"/>
        </w:rPr>
        <w:t>s</w:t>
      </w:r>
      <w:r w:rsidR="000579C8" w:rsidRPr="0019712B">
        <w:rPr>
          <w:rFonts w:cs="Times New Roman"/>
          <w:szCs w:val="24"/>
        </w:rPr>
        <w:t xml:space="preserve"> a governmental body might enter</w:t>
      </w:r>
      <w:r w:rsidR="00954F76">
        <w:rPr>
          <w:rFonts w:cs="Times New Roman"/>
          <w:szCs w:val="24"/>
        </w:rPr>
        <w:t xml:space="preserve"> into</w:t>
      </w:r>
      <w:r w:rsidR="000579C8" w:rsidRPr="0019712B">
        <w:rPr>
          <w:rFonts w:cs="Times New Roman"/>
          <w:szCs w:val="24"/>
        </w:rPr>
        <w:t xml:space="preserve"> with a</w:t>
      </w:r>
      <w:r w:rsidR="0019712B">
        <w:rPr>
          <w:rFonts w:cs="Times New Roman"/>
          <w:szCs w:val="24"/>
        </w:rPr>
        <w:t>n entity engaged</w:t>
      </w:r>
      <w:r w:rsidR="00825FC9" w:rsidRPr="0019712B">
        <w:rPr>
          <w:rFonts w:cs="Times New Roman"/>
          <w:szCs w:val="24"/>
        </w:rPr>
        <w:t xml:space="preserve"> </w:t>
      </w:r>
      <w:r w:rsidR="000579C8" w:rsidRPr="0019712B">
        <w:rPr>
          <w:rFonts w:cs="Times New Roman"/>
          <w:szCs w:val="24"/>
        </w:rPr>
        <w:t xml:space="preserve">in </w:t>
      </w:r>
      <w:r w:rsidR="0019712B">
        <w:rPr>
          <w:rFonts w:cs="Times New Roman"/>
          <w:szCs w:val="24"/>
        </w:rPr>
        <w:t xml:space="preserve">a </w:t>
      </w:r>
      <w:r w:rsidR="000579C8" w:rsidRPr="0019712B">
        <w:rPr>
          <w:rFonts w:cs="Times New Roman"/>
          <w:szCs w:val="24"/>
        </w:rPr>
        <w:t xml:space="preserve">large construction project to remediate damage to roadways under </w:t>
      </w:r>
      <w:r w:rsidR="00825FC9" w:rsidRPr="0019712B">
        <w:rPr>
          <w:rFonts w:cs="Times New Roman"/>
          <w:szCs w:val="24"/>
        </w:rPr>
        <w:t>the local unit of government’s</w:t>
      </w:r>
      <w:r w:rsidR="000579C8" w:rsidRPr="0019712B">
        <w:rPr>
          <w:rFonts w:cs="Times New Roman"/>
          <w:szCs w:val="24"/>
        </w:rPr>
        <w:t xml:space="preserve"> supervision/ownership</w:t>
      </w:r>
      <w:r w:rsidR="00954F76">
        <w:rPr>
          <w:rFonts w:cs="Times New Roman"/>
          <w:szCs w:val="24"/>
        </w:rPr>
        <w:t xml:space="preserve"> and limit the unit of government’s potential liability exposure attributable to the project</w:t>
      </w:r>
      <w:r w:rsidR="000579C8" w:rsidRPr="0019712B">
        <w:rPr>
          <w:rFonts w:cs="Times New Roman"/>
          <w:szCs w:val="24"/>
        </w:rPr>
        <w:t xml:space="preserve">. </w:t>
      </w:r>
    </w:p>
    <w:p w14:paraId="118D1482" w14:textId="77777777" w:rsidR="0019712B" w:rsidRPr="0019712B" w:rsidRDefault="0019712B" w:rsidP="0019712B">
      <w:pPr>
        <w:pStyle w:val="ListParagraph"/>
        <w:rPr>
          <w:rFonts w:cs="Times New Roman"/>
          <w:szCs w:val="24"/>
        </w:rPr>
      </w:pPr>
    </w:p>
    <w:p w14:paraId="4C444FEA" w14:textId="0812AFB2" w:rsidR="00871272" w:rsidRDefault="009D7CDA" w:rsidP="00CA0E24">
      <w:pPr>
        <w:pStyle w:val="ListParagraph"/>
        <w:numPr>
          <w:ilvl w:val="1"/>
          <w:numId w:val="6"/>
        </w:numPr>
        <w:ind w:left="2160" w:hanging="720"/>
        <w:jc w:val="both"/>
        <w:rPr>
          <w:rFonts w:cs="Times New Roman"/>
          <w:szCs w:val="24"/>
        </w:rPr>
      </w:pPr>
      <w:r w:rsidRPr="0019712B">
        <w:rPr>
          <w:rFonts w:cs="Times New Roman"/>
          <w:szCs w:val="24"/>
        </w:rPr>
        <w:t>Such large construction project</w:t>
      </w:r>
      <w:r w:rsidR="00825FC9" w:rsidRPr="0019712B">
        <w:rPr>
          <w:rFonts w:cs="Times New Roman"/>
          <w:szCs w:val="24"/>
        </w:rPr>
        <w:t>s</w:t>
      </w:r>
      <w:r w:rsidRPr="0019712B">
        <w:rPr>
          <w:rFonts w:cs="Times New Roman"/>
          <w:szCs w:val="24"/>
        </w:rPr>
        <w:t xml:space="preserve"> generally involve the transportation of machinery and materials exceeding</w:t>
      </w:r>
      <w:r w:rsidR="00954F76">
        <w:rPr>
          <w:rFonts w:cs="Times New Roman"/>
          <w:szCs w:val="24"/>
        </w:rPr>
        <w:t xml:space="preserve"> normal</w:t>
      </w:r>
      <w:r w:rsidRPr="0019712B">
        <w:rPr>
          <w:rFonts w:cs="Times New Roman"/>
          <w:szCs w:val="24"/>
        </w:rPr>
        <w:t xml:space="preserve"> weight limits applicable to county/</w:t>
      </w:r>
      <w:r w:rsidR="00DF30A5">
        <w:rPr>
          <w:rFonts w:cs="Times New Roman"/>
          <w:szCs w:val="24"/>
        </w:rPr>
        <w:t>road district</w:t>
      </w:r>
      <w:r w:rsidRPr="0019712B">
        <w:rPr>
          <w:rFonts w:cs="Times New Roman"/>
          <w:szCs w:val="24"/>
        </w:rPr>
        <w:t xml:space="preserve"> roadways</w:t>
      </w:r>
      <w:r w:rsidR="00954F76">
        <w:rPr>
          <w:rFonts w:cs="Times New Roman"/>
          <w:szCs w:val="24"/>
        </w:rPr>
        <w:t>, placing a strain on local infrastructure and increasing the risks to the general motoring public</w:t>
      </w:r>
      <w:r w:rsidRPr="0019712B">
        <w:rPr>
          <w:rFonts w:cs="Times New Roman"/>
          <w:szCs w:val="24"/>
        </w:rPr>
        <w:t xml:space="preserve">. </w:t>
      </w:r>
    </w:p>
    <w:p w14:paraId="5A549359" w14:textId="77777777" w:rsidR="00871272" w:rsidRDefault="00871272" w:rsidP="00871272">
      <w:pPr>
        <w:pStyle w:val="ListParagraph"/>
        <w:ind w:left="1440"/>
        <w:rPr>
          <w:rFonts w:cs="Times New Roman"/>
          <w:szCs w:val="24"/>
        </w:rPr>
      </w:pPr>
    </w:p>
    <w:p w14:paraId="48449B94" w14:textId="2DC2DFE7" w:rsidR="00CA0E24" w:rsidRDefault="009D7CDA" w:rsidP="00CA0E24">
      <w:pPr>
        <w:pStyle w:val="ListParagraph"/>
        <w:numPr>
          <w:ilvl w:val="1"/>
          <w:numId w:val="6"/>
        </w:numPr>
        <w:ind w:left="2160" w:hanging="720"/>
        <w:jc w:val="both"/>
        <w:rPr>
          <w:rFonts w:cs="Times New Roman"/>
          <w:szCs w:val="24"/>
        </w:rPr>
      </w:pPr>
      <w:r w:rsidRPr="0019712B">
        <w:rPr>
          <w:rFonts w:cs="Times New Roman"/>
          <w:szCs w:val="24"/>
        </w:rPr>
        <w:t xml:space="preserve">Given the wear and tear </w:t>
      </w:r>
      <w:r w:rsidR="004F4C33" w:rsidRPr="0019712B">
        <w:rPr>
          <w:rFonts w:cs="Times New Roman"/>
          <w:szCs w:val="24"/>
        </w:rPr>
        <w:t xml:space="preserve">caused by </w:t>
      </w:r>
      <w:r w:rsidR="00825FC9" w:rsidRPr="0019712B">
        <w:rPr>
          <w:rFonts w:cs="Times New Roman"/>
          <w:szCs w:val="24"/>
        </w:rPr>
        <w:t>moving</w:t>
      </w:r>
      <w:r w:rsidR="004F4C33" w:rsidRPr="0019712B">
        <w:rPr>
          <w:rFonts w:cs="Times New Roman"/>
          <w:szCs w:val="24"/>
        </w:rPr>
        <w:t xml:space="preserve"> such oversized loads over roadways for which </w:t>
      </w:r>
      <w:r w:rsidR="00DF30A5">
        <w:rPr>
          <w:rFonts w:cs="Times New Roman"/>
          <w:szCs w:val="24"/>
        </w:rPr>
        <w:t>road districts</w:t>
      </w:r>
      <w:r w:rsidR="004F4C33" w:rsidRPr="0019712B">
        <w:rPr>
          <w:rFonts w:cs="Times New Roman"/>
          <w:szCs w:val="24"/>
        </w:rPr>
        <w:t xml:space="preserve"> </w:t>
      </w:r>
      <w:r w:rsidR="008E1A1D" w:rsidRPr="0019712B">
        <w:rPr>
          <w:rFonts w:cs="Times New Roman"/>
          <w:szCs w:val="24"/>
        </w:rPr>
        <w:t>maintain</w:t>
      </w:r>
      <w:r w:rsidR="004F4C33" w:rsidRPr="0019712B">
        <w:rPr>
          <w:rFonts w:cs="Times New Roman"/>
          <w:szCs w:val="24"/>
        </w:rPr>
        <w:t xml:space="preserve"> legal responsib</w:t>
      </w:r>
      <w:r w:rsidR="008E1A1D" w:rsidRPr="0019712B">
        <w:rPr>
          <w:rFonts w:cs="Times New Roman"/>
          <w:szCs w:val="24"/>
        </w:rPr>
        <w:t>ility</w:t>
      </w:r>
      <w:r w:rsidR="004F4C33" w:rsidRPr="0019712B">
        <w:rPr>
          <w:rFonts w:cs="Times New Roman"/>
          <w:szCs w:val="24"/>
        </w:rPr>
        <w:t xml:space="preserve">, an RUA might be drafted so </w:t>
      </w:r>
      <w:r w:rsidR="0019712B">
        <w:rPr>
          <w:rFonts w:cs="Times New Roman"/>
          <w:szCs w:val="24"/>
        </w:rPr>
        <w:t>as to place</w:t>
      </w:r>
      <w:r w:rsidR="004F4C33" w:rsidRPr="0019712B">
        <w:rPr>
          <w:rFonts w:cs="Times New Roman"/>
          <w:szCs w:val="24"/>
        </w:rPr>
        <w:t xml:space="preserve"> the responsibility </w:t>
      </w:r>
      <w:r w:rsidR="0019712B">
        <w:rPr>
          <w:rFonts w:cs="Times New Roman"/>
          <w:szCs w:val="24"/>
        </w:rPr>
        <w:t xml:space="preserve">on </w:t>
      </w:r>
      <w:r w:rsidR="00B6570B">
        <w:rPr>
          <w:rFonts w:cs="Times New Roman"/>
          <w:szCs w:val="24"/>
        </w:rPr>
        <w:t xml:space="preserve">those </w:t>
      </w:r>
      <w:r w:rsidR="00871272">
        <w:rPr>
          <w:rFonts w:cs="Times New Roman"/>
          <w:szCs w:val="24"/>
        </w:rPr>
        <w:t xml:space="preserve">accountable for the construction project </w:t>
      </w:r>
      <w:r w:rsidR="004F4C33" w:rsidRPr="0019712B">
        <w:rPr>
          <w:rFonts w:cs="Times New Roman"/>
          <w:szCs w:val="24"/>
        </w:rPr>
        <w:t>to</w:t>
      </w:r>
      <w:r w:rsidR="00871272">
        <w:rPr>
          <w:rFonts w:cs="Times New Roman"/>
          <w:szCs w:val="24"/>
        </w:rPr>
        <w:t>:</w:t>
      </w:r>
      <w:r w:rsidR="004F4C33" w:rsidRPr="0019712B">
        <w:rPr>
          <w:rFonts w:cs="Times New Roman"/>
          <w:szCs w:val="24"/>
        </w:rPr>
        <w:t xml:space="preserve"> minimize the damage to such roads</w:t>
      </w:r>
      <w:r w:rsidR="00504F3D" w:rsidRPr="0019712B">
        <w:rPr>
          <w:rFonts w:cs="Times New Roman"/>
          <w:szCs w:val="24"/>
        </w:rPr>
        <w:t>, to make any necessary repairs to roadways damage</w:t>
      </w:r>
      <w:r w:rsidR="00825FC9" w:rsidRPr="0019712B">
        <w:rPr>
          <w:rFonts w:cs="Times New Roman"/>
          <w:szCs w:val="24"/>
        </w:rPr>
        <w:t>d</w:t>
      </w:r>
      <w:r w:rsidR="00504F3D" w:rsidRPr="0019712B">
        <w:rPr>
          <w:rFonts w:cs="Times New Roman"/>
          <w:szCs w:val="24"/>
        </w:rPr>
        <w:t xml:space="preserve"> during the pendency of the project,</w:t>
      </w:r>
      <w:r w:rsidR="004F4C33" w:rsidRPr="0019712B">
        <w:rPr>
          <w:rFonts w:cs="Times New Roman"/>
          <w:szCs w:val="24"/>
        </w:rPr>
        <w:t xml:space="preserve"> and to </w:t>
      </w:r>
      <w:r w:rsidR="00504F3D" w:rsidRPr="0019712B">
        <w:rPr>
          <w:rFonts w:cs="Times New Roman"/>
          <w:szCs w:val="24"/>
        </w:rPr>
        <w:t xml:space="preserve">ultimately </w:t>
      </w:r>
      <w:r w:rsidR="004F4C33" w:rsidRPr="0019712B">
        <w:rPr>
          <w:rFonts w:cs="Times New Roman"/>
          <w:szCs w:val="24"/>
        </w:rPr>
        <w:t xml:space="preserve">restore </w:t>
      </w:r>
      <w:r w:rsidR="00DF30A5">
        <w:rPr>
          <w:rFonts w:cs="Times New Roman"/>
          <w:szCs w:val="24"/>
        </w:rPr>
        <w:t>road district</w:t>
      </w:r>
      <w:r w:rsidR="004F4C33" w:rsidRPr="0019712B">
        <w:rPr>
          <w:rFonts w:cs="Times New Roman"/>
          <w:szCs w:val="24"/>
        </w:rPr>
        <w:t xml:space="preserve"> roadways to their original</w:t>
      </w:r>
      <w:r w:rsidR="00DD6160" w:rsidRPr="0019712B">
        <w:rPr>
          <w:rFonts w:cs="Times New Roman"/>
          <w:szCs w:val="24"/>
        </w:rPr>
        <w:t>, pre-construction</w:t>
      </w:r>
      <w:r w:rsidR="004F4C33" w:rsidRPr="0019712B">
        <w:rPr>
          <w:rFonts w:cs="Times New Roman"/>
          <w:szCs w:val="24"/>
        </w:rPr>
        <w:t xml:space="preserve"> condition in the event such damage does result. </w:t>
      </w:r>
    </w:p>
    <w:p w14:paraId="0B115988" w14:textId="77777777" w:rsidR="00CA0E24" w:rsidRPr="00CA0E24" w:rsidRDefault="00CA0E24" w:rsidP="00CA0E24">
      <w:pPr>
        <w:pStyle w:val="ListParagraph"/>
        <w:rPr>
          <w:rFonts w:cs="Times New Roman"/>
          <w:szCs w:val="24"/>
        </w:rPr>
      </w:pPr>
    </w:p>
    <w:p w14:paraId="5EE75469" w14:textId="31D34732" w:rsidR="00954F76" w:rsidRPr="00CA0E24" w:rsidRDefault="00954F76" w:rsidP="00673979">
      <w:pPr>
        <w:pStyle w:val="ListParagraph"/>
        <w:numPr>
          <w:ilvl w:val="0"/>
          <w:numId w:val="26"/>
        </w:numPr>
        <w:ind w:hanging="720"/>
        <w:jc w:val="both"/>
        <w:rPr>
          <w:rFonts w:cs="Times New Roman"/>
          <w:szCs w:val="24"/>
        </w:rPr>
      </w:pPr>
      <w:r w:rsidRPr="00CA0E24">
        <w:rPr>
          <w:rFonts w:cs="Times New Roman"/>
          <w:szCs w:val="24"/>
        </w:rPr>
        <w:t xml:space="preserve">As the party generally liable for damages of the motoring public attributable to the roads under its supervision, </w:t>
      </w:r>
      <w:r w:rsidR="00DF30A5">
        <w:rPr>
          <w:rFonts w:cs="Times New Roman"/>
          <w:szCs w:val="24"/>
        </w:rPr>
        <w:t>road district</w:t>
      </w:r>
      <w:r w:rsidRPr="00CA0E24">
        <w:rPr>
          <w:rFonts w:cs="Times New Roman"/>
          <w:szCs w:val="24"/>
        </w:rPr>
        <w:t xml:space="preserve">s are well advised to ensure those responsible for large construction projects </w:t>
      </w:r>
      <w:r w:rsidR="00E42042" w:rsidRPr="00CA0E24">
        <w:rPr>
          <w:rFonts w:cs="Times New Roman"/>
          <w:szCs w:val="24"/>
        </w:rPr>
        <w:t xml:space="preserve">leave </w:t>
      </w:r>
      <w:r w:rsidR="00DF30A5">
        <w:rPr>
          <w:rFonts w:cs="Times New Roman"/>
          <w:szCs w:val="24"/>
        </w:rPr>
        <w:t>road district</w:t>
      </w:r>
      <w:r w:rsidR="00E42042" w:rsidRPr="00CA0E24">
        <w:rPr>
          <w:rFonts w:cs="Times New Roman"/>
          <w:szCs w:val="24"/>
        </w:rPr>
        <w:t xml:space="preserve"> roadways in good condition and free from undue risks.</w:t>
      </w:r>
    </w:p>
    <w:p w14:paraId="28346640" w14:textId="77777777" w:rsidR="00871272" w:rsidRDefault="00871272" w:rsidP="00871272">
      <w:pPr>
        <w:pStyle w:val="ListParagraph"/>
        <w:rPr>
          <w:rFonts w:cs="Times New Roman"/>
          <w:szCs w:val="24"/>
        </w:rPr>
      </w:pPr>
    </w:p>
    <w:p w14:paraId="016031BF" w14:textId="77777777" w:rsidR="00871272" w:rsidRDefault="00895416" w:rsidP="00CA0E24">
      <w:pPr>
        <w:pStyle w:val="ListParagraph"/>
        <w:numPr>
          <w:ilvl w:val="0"/>
          <w:numId w:val="6"/>
        </w:numPr>
        <w:ind w:left="1440" w:hanging="720"/>
        <w:jc w:val="both"/>
        <w:rPr>
          <w:rFonts w:cs="Times New Roman"/>
          <w:szCs w:val="24"/>
        </w:rPr>
      </w:pPr>
      <w:r w:rsidRPr="00871272">
        <w:rPr>
          <w:rFonts w:cs="Times New Roman"/>
          <w:szCs w:val="24"/>
        </w:rPr>
        <w:t>The specific provisions that might be adopted in an RUA will vary based on the particulars of the project and negotiations of the parties</w:t>
      </w:r>
      <w:r w:rsidR="000D4370" w:rsidRPr="00871272">
        <w:rPr>
          <w:rFonts w:cs="Times New Roman"/>
          <w:szCs w:val="24"/>
        </w:rPr>
        <w:t>.</w:t>
      </w:r>
    </w:p>
    <w:p w14:paraId="1FB94183" w14:textId="77777777" w:rsidR="00871272" w:rsidRDefault="00871272" w:rsidP="00871272">
      <w:pPr>
        <w:pStyle w:val="ListParagraph"/>
        <w:ind w:left="1440"/>
        <w:rPr>
          <w:rFonts w:cs="Times New Roman"/>
          <w:szCs w:val="24"/>
        </w:rPr>
      </w:pPr>
    </w:p>
    <w:p w14:paraId="54BCD13F" w14:textId="09AF1076" w:rsidR="00871272" w:rsidRDefault="00871272" w:rsidP="00CA0E24">
      <w:pPr>
        <w:pStyle w:val="ListParagraph"/>
        <w:numPr>
          <w:ilvl w:val="0"/>
          <w:numId w:val="9"/>
        </w:numPr>
        <w:jc w:val="both"/>
        <w:rPr>
          <w:rFonts w:cs="Times New Roman"/>
          <w:szCs w:val="24"/>
        </w:rPr>
      </w:pPr>
      <w:r w:rsidRPr="00C65192">
        <w:rPr>
          <w:rFonts w:cs="Times New Roman"/>
          <w:szCs w:val="24"/>
        </w:rPr>
        <w:t xml:space="preserve">A </w:t>
      </w:r>
      <w:r w:rsidR="00895416" w:rsidRPr="00C65192">
        <w:rPr>
          <w:rFonts w:cs="Times New Roman"/>
          <w:szCs w:val="24"/>
        </w:rPr>
        <w:t>well</w:t>
      </w:r>
      <w:r w:rsidR="000D4370" w:rsidRPr="00C65192">
        <w:rPr>
          <w:rFonts w:cs="Times New Roman"/>
          <w:szCs w:val="24"/>
        </w:rPr>
        <w:t xml:space="preserve">-drafted agreement will permit the movement of heavy traffic crucial to the completion of such projects over </w:t>
      </w:r>
      <w:r w:rsidR="00DF30A5">
        <w:rPr>
          <w:rFonts w:cs="Times New Roman"/>
          <w:szCs w:val="24"/>
        </w:rPr>
        <w:t>road district</w:t>
      </w:r>
      <w:r w:rsidR="000D4370" w:rsidRPr="00C65192">
        <w:rPr>
          <w:rFonts w:cs="Times New Roman"/>
          <w:szCs w:val="24"/>
        </w:rPr>
        <w:t xml:space="preserve"> </w:t>
      </w:r>
      <w:r w:rsidRPr="00C65192">
        <w:rPr>
          <w:rFonts w:cs="Times New Roman"/>
          <w:szCs w:val="24"/>
        </w:rPr>
        <w:t>roads but</w:t>
      </w:r>
      <w:r w:rsidR="000D4370" w:rsidRPr="00C65192">
        <w:rPr>
          <w:rFonts w:cs="Times New Roman"/>
          <w:szCs w:val="24"/>
        </w:rPr>
        <w:t xml:space="preserve"> will provide a means for recovering the costs attributable to such operations and will attempt to direct the </w:t>
      </w:r>
      <w:r w:rsidRPr="00C65192">
        <w:rPr>
          <w:rFonts w:cs="Times New Roman"/>
          <w:szCs w:val="24"/>
        </w:rPr>
        <w:t>overweight loads</w:t>
      </w:r>
      <w:r w:rsidR="000D4370" w:rsidRPr="00C65192">
        <w:rPr>
          <w:rFonts w:cs="Times New Roman"/>
          <w:szCs w:val="24"/>
        </w:rPr>
        <w:t xml:space="preserve"> to </w:t>
      </w:r>
      <w:r w:rsidRPr="00C65192">
        <w:rPr>
          <w:rFonts w:cs="Times New Roman"/>
          <w:szCs w:val="24"/>
        </w:rPr>
        <w:t>more</w:t>
      </w:r>
      <w:r w:rsidR="000D4370" w:rsidRPr="00C65192">
        <w:rPr>
          <w:rFonts w:cs="Times New Roman"/>
          <w:szCs w:val="24"/>
        </w:rPr>
        <w:t xml:space="preserve"> suitable roadways. </w:t>
      </w:r>
    </w:p>
    <w:p w14:paraId="305CE6DD" w14:textId="77777777" w:rsidR="00C65192" w:rsidRPr="00C65192" w:rsidRDefault="00C65192" w:rsidP="00CA0E24">
      <w:pPr>
        <w:pStyle w:val="ListParagraph"/>
        <w:ind w:left="2160"/>
        <w:jc w:val="both"/>
        <w:rPr>
          <w:rFonts w:cs="Times New Roman"/>
          <w:szCs w:val="24"/>
        </w:rPr>
      </w:pPr>
    </w:p>
    <w:p w14:paraId="64D4E87F" w14:textId="6E58D735" w:rsidR="004135DD" w:rsidRPr="00EF3E1A" w:rsidRDefault="00F36EC7" w:rsidP="00CA0E24">
      <w:pPr>
        <w:pStyle w:val="ListParagraph"/>
        <w:numPr>
          <w:ilvl w:val="0"/>
          <w:numId w:val="9"/>
        </w:numPr>
        <w:jc w:val="both"/>
        <w:rPr>
          <w:rFonts w:cs="Times New Roman"/>
          <w:szCs w:val="24"/>
        </w:rPr>
      </w:pPr>
      <w:r w:rsidRPr="00C65192">
        <w:rPr>
          <w:rFonts w:cs="Times New Roman"/>
          <w:szCs w:val="24"/>
        </w:rPr>
        <w:t xml:space="preserve">All the while, an RUA should assist in minimizing the disruption to the traveling public attributable to the project. </w:t>
      </w:r>
    </w:p>
    <w:p w14:paraId="05A8C6D6" w14:textId="77777777" w:rsidR="00430D78" w:rsidRDefault="00430D78" w:rsidP="004135DD">
      <w:pPr>
        <w:rPr>
          <w:rFonts w:cs="Times New Roman"/>
          <w:b/>
          <w:szCs w:val="24"/>
          <w:u w:val="single"/>
        </w:rPr>
      </w:pPr>
    </w:p>
    <w:p w14:paraId="0548E9C2" w14:textId="4874F6DD" w:rsidR="004135DD" w:rsidRDefault="00CA0E24" w:rsidP="00CA0E24">
      <w:pPr>
        <w:pStyle w:val="ListParagraph"/>
        <w:numPr>
          <w:ilvl w:val="0"/>
          <w:numId w:val="23"/>
        </w:numPr>
        <w:ind w:left="720"/>
        <w:rPr>
          <w:rFonts w:cs="Times New Roman"/>
          <w:szCs w:val="24"/>
          <w:u w:val="single"/>
        </w:rPr>
      </w:pPr>
      <w:r w:rsidRPr="00CA0E24">
        <w:rPr>
          <w:rFonts w:cs="Times New Roman"/>
          <w:szCs w:val="24"/>
          <w:u w:val="single"/>
        </w:rPr>
        <w:t>Examples</w:t>
      </w:r>
    </w:p>
    <w:p w14:paraId="4A2F4D48" w14:textId="77777777" w:rsidR="00CA0E24" w:rsidRPr="00CA0E24" w:rsidRDefault="00CA0E24" w:rsidP="00CA0E24"/>
    <w:p w14:paraId="61F3C772" w14:textId="0207CBF9" w:rsidR="00EF3E1A" w:rsidRPr="00EF3E1A" w:rsidRDefault="00E91D28" w:rsidP="00CA0E24">
      <w:pPr>
        <w:pStyle w:val="ListParagraph"/>
        <w:numPr>
          <w:ilvl w:val="0"/>
          <w:numId w:val="21"/>
        </w:numPr>
        <w:ind w:left="1440" w:hanging="720"/>
        <w:jc w:val="both"/>
        <w:rPr>
          <w:rFonts w:cs="Times New Roman"/>
          <w:szCs w:val="24"/>
        </w:rPr>
      </w:pPr>
      <w:r w:rsidRPr="00E91D28">
        <w:rPr>
          <w:rFonts w:cs="Times New Roman"/>
          <w:szCs w:val="24"/>
        </w:rPr>
        <w:lastRenderedPageBreak/>
        <w:t xml:space="preserve">The Dakota Access Pipeline was built to transport petroleum from the Bakken oil shale fields to a major oil terminal at Patoka, Illinois. This major infrastructural project </w:t>
      </w:r>
      <w:r w:rsidR="00EF3E1A">
        <w:rPr>
          <w:rFonts w:cs="Times New Roman"/>
          <w:szCs w:val="24"/>
        </w:rPr>
        <w:t>traversed</w:t>
      </w:r>
      <w:r w:rsidRPr="00E91D28">
        <w:rPr>
          <w:rFonts w:cs="Times New Roman"/>
          <w:szCs w:val="24"/>
        </w:rPr>
        <w:t xml:space="preserve"> several counties in West-Central Illinois, and to deal with and anticipate the heavy </w:t>
      </w:r>
      <w:r w:rsidR="00EF3E1A">
        <w:rPr>
          <w:rFonts w:cs="Times New Roman"/>
          <w:szCs w:val="24"/>
        </w:rPr>
        <w:t>trucks</w:t>
      </w:r>
      <w:r w:rsidRPr="00E91D28">
        <w:rPr>
          <w:rFonts w:cs="Times New Roman"/>
          <w:szCs w:val="24"/>
        </w:rPr>
        <w:t xml:space="preserve"> and </w:t>
      </w:r>
      <w:r w:rsidR="00EF3E1A">
        <w:rPr>
          <w:rFonts w:cs="Times New Roman"/>
          <w:szCs w:val="24"/>
        </w:rPr>
        <w:t xml:space="preserve">significant </w:t>
      </w:r>
      <w:r w:rsidRPr="00E91D28">
        <w:rPr>
          <w:rFonts w:cs="Times New Roman"/>
          <w:szCs w:val="24"/>
        </w:rPr>
        <w:t xml:space="preserve">footprint </w:t>
      </w:r>
      <w:r w:rsidR="00EF3E1A">
        <w:rPr>
          <w:rFonts w:cs="Times New Roman"/>
          <w:szCs w:val="24"/>
        </w:rPr>
        <w:t>occasioned by</w:t>
      </w:r>
      <w:r w:rsidRPr="00E91D28">
        <w:rPr>
          <w:rFonts w:cs="Times New Roman"/>
          <w:szCs w:val="24"/>
        </w:rPr>
        <w:t xml:space="preserve"> the pipeline </w:t>
      </w:r>
      <w:r w:rsidR="00EF3E1A">
        <w:rPr>
          <w:rFonts w:cs="Times New Roman"/>
          <w:szCs w:val="24"/>
        </w:rPr>
        <w:t xml:space="preserve">company </w:t>
      </w:r>
      <w:r w:rsidRPr="00E91D28">
        <w:rPr>
          <w:rFonts w:cs="Times New Roman"/>
          <w:szCs w:val="24"/>
        </w:rPr>
        <w:t>and its contractors</w:t>
      </w:r>
      <w:r w:rsidR="00EF3E1A">
        <w:rPr>
          <w:rFonts w:cs="Times New Roman"/>
          <w:szCs w:val="24"/>
        </w:rPr>
        <w:t>’ activities</w:t>
      </w:r>
      <w:r w:rsidRPr="00E91D28">
        <w:rPr>
          <w:rFonts w:cs="Times New Roman"/>
          <w:szCs w:val="24"/>
        </w:rPr>
        <w:t xml:space="preserve">, Morgan and Greene Counties entered into </w:t>
      </w:r>
      <w:r w:rsidR="00EF3E1A">
        <w:rPr>
          <w:rFonts w:cs="Times New Roman"/>
          <w:szCs w:val="24"/>
        </w:rPr>
        <w:t>RUAs</w:t>
      </w:r>
      <w:r w:rsidRPr="00E91D28">
        <w:rPr>
          <w:rFonts w:cs="Times New Roman"/>
          <w:szCs w:val="24"/>
        </w:rPr>
        <w:t xml:space="preserve"> with Dakota Access covering liability between the parties, responsibility for </w:t>
      </w:r>
      <w:r w:rsidR="00EF3E1A">
        <w:rPr>
          <w:rFonts w:cs="Times New Roman"/>
          <w:szCs w:val="24"/>
        </w:rPr>
        <w:t xml:space="preserve">repairs and/or the cost of repairs, and a host of other direct and incidental issues occasioned by the project. </w:t>
      </w:r>
    </w:p>
    <w:p w14:paraId="67142852" w14:textId="77777777" w:rsidR="00430D78" w:rsidRPr="00430D78" w:rsidRDefault="00430D78" w:rsidP="00CA0E24">
      <w:pPr>
        <w:pStyle w:val="ListParagraph"/>
        <w:ind w:left="1440" w:hanging="720"/>
        <w:jc w:val="both"/>
        <w:rPr>
          <w:rFonts w:cs="Times New Roman"/>
          <w:b/>
          <w:szCs w:val="24"/>
        </w:rPr>
      </w:pPr>
    </w:p>
    <w:p w14:paraId="42FB75AF" w14:textId="1F593216" w:rsidR="000D4370" w:rsidRPr="00EF3E1A" w:rsidRDefault="00EF3E1A" w:rsidP="00CA0E24">
      <w:pPr>
        <w:pStyle w:val="ListParagraph"/>
        <w:numPr>
          <w:ilvl w:val="0"/>
          <w:numId w:val="21"/>
        </w:numPr>
        <w:ind w:left="1440" w:hanging="720"/>
        <w:jc w:val="both"/>
        <w:rPr>
          <w:rFonts w:cs="Times New Roman"/>
          <w:b/>
          <w:szCs w:val="24"/>
        </w:rPr>
      </w:pPr>
      <w:r>
        <w:rPr>
          <w:rFonts w:cs="Times New Roman"/>
          <w:szCs w:val="24"/>
        </w:rPr>
        <w:t xml:space="preserve">RUAs might be drafted to cover not only massive interstate petroleum or natural gas pipelines, but also for more routine projects like the replacement of worn and damaged electricity transmission lines. Greene County, Illinois recently entered into such an agreement with Ameren Illinois to cover the utility’s replacement of various poles throughout the county. Demonstrating that </w:t>
      </w:r>
      <w:r w:rsidR="003A3EF0">
        <w:rPr>
          <w:rFonts w:cs="Times New Roman"/>
          <w:szCs w:val="24"/>
        </w:rPr>
        <w:t xml:space="preserve">such agreements might be negotiated on behalf of multiple units of local government, in addition to Ameren the RUA included Greene County, Kane Township, Carrollton Township, White Hall Township, and Roodhouse Township as signatories. By involving several impacted jurisdictions in negotiations, </w:t>
      </w:r>
      <w:r w:rsidR="003A3EF0" w:rsidRPr="00380DD0">
        <w:rPr>
          <w:rFonts w:cs="Times New Roman"/>
          <w:szCs w:val="24"/>
        </w:rPr>
        <w:t>townships</w:t>
      </w:r>
      <w:r w:rsidR="00380DD0">
        <w:rPr>
          <w:rFonts w:cs="Times New Roman"/>
          <w:szCs w:val="24"/>
        </w:rPr>
        <w:t xml:space="preserve"> and road districts</w:t>
      </w:r>
      <w:r w:rsidR="003A3EF0">
        <w:rPr>
          <w:rFonts w:cs="Times New Roman"/>
          <w:szCs w:val="24"/>
        </w:rPr>
        <w:t xml:space="preserve"> might cut down on costs and </w:t>
      </w:r>
      <w:r w:rsidR="00430D78">
        <w:rPr>
          <w:rFonts w:cs="Times New Roman"/>
          <w:szCs w:val="24"/>
        </w:rPr>
        <w:t xml:space="preserve">gain bargaining power with the party responsible for the project relative to what they would exercise on their own. </w:t>
      </w:r>
    </w:p>
    <w:p w14:paraId="4D0524E2" w14:textId="77777777" w:rsidR="00430D78" w:rsidRDefault="00430D78">
      <w:pPr>
        <w:rPr>
          <w:rFonts w:cs="Times New Roman"/>
          <w:szCs w:val="24"/>
        </w:rPr>
      </w:pPr>
    </w:p>
    <w:p w14:paraId="1AB0538B" w14:textId="1897CD07" w:rsidR="004233B4" w:rsidRDefault="00CA0E24" w:rsidP="00CA0E24">
      <w:pPr>
        <w:pStyle w:val="ListParagraph"/>
        <w:numPr>
          <w:ilvl w:val="0"/>
          <w:numId w:val="23"/>
        </w:numPr>
        <w:ind w:left="720"/>
        <w:rPr>
          <w:rFonts w:cs="Times New Roman"/>
          <w:szCs w:val="24"/>
          <w:u w:val="single"/>
        </w:rPr>
      </w:pPr>
      <w:r w:rsidRPr="00CA0E24">
        <w:rPr>
          <w:rFonts w:cs="Times New Roman"/>
          <w:szCs w:val="24"/>
          <w:u w:val="single"/>
        </w:rPr>
        <w:t>Relevant Legal Authorities</w:t>
      </w:r>
    </w:p>
    <w:p w14:paraId="12A13619" w14:textId="77777777" w:rsidR="00CA0E24" w:rsidRPr="00CA0E24" w:rsidRDefault="00CA0E24" w:rsidP="00CA0E24"/>
    <w:p w14:paraId="4753A663" w14:textId="3A82ACE2" w:rsidR="00C65192" w:rsidRDefault="002236C7" w:rsidP="00CA0E24">
      <w:pPr>
        <w:pStyle w:val="ListParagraph"/>
        <w:numPr>
          <w:ilvl w:val="0"/>
          <w:numId w:val="7"/>
        </w:numPr>
        <w:ind w:left="1440" w:hanging="720"/>
        <w:jc w:val="both"/>
        <w:rPr>
          <w:rFonts w:cs="Times New Roman"/>
          <w:szCs w:val="24"/>
        </w:rPr>
      </w:pPr>
      <w:r w:rsidRPr="00C65192">
        <w:rPr>
          <w:rFonts w:cs="Times New Roman"/>
          <w:szCs w:val="24"/>
        </w:rPr>
        <w:t>The basic legal authority for the enforcement of an RUA</w:t>
      </w:r>
      <w:r w:rsidR="00825FC9" w:rsidRPr="00C65192">
        <w:rPr>
          <w:rFonts w:cs="Times New Roman"/>
          <w:szCs w:val="24"/>
        </w:rPr>
        <w:t>’</w:t>
      </w:r>
      <w:r w:rsidRPr="00C65192">
        <w:rPr>
          <w:rFonts w:cs="Times New Roman"/>
          <w:szCs w:val="24"/>
        </w:rPr>
        <w:t xml:space="preserve">s main provisions is the Illinois Highway Code, 605 ILCS 5/5, </w:t>
      </w:r>
      <w:r w:rsidRPr="00C65192">
        <w:rPr>
          <w:rFonts w:cs="Times New Roman"/>
          <w:i/>
          <w:szCs w:val="24"/>
        </w:rPr>
        <w:t>et seq.</w:t>
      </w:r>
      <w:r w:rsidRPr="00C65192">
        <w:rPr>
          <w:rFonts w:cs="Times New Roman"/>
          <w:szCs w:val="24"/>
        </w:rPr>
        <w:t>, which vests broad power in counties</w:t>
      </w:r>
      <w:r w:rsidR="00380DD0">
        <w:rPr>
          <w:rFonts w:cs="Times New Roman"/>
          <w:szCs w:val="24"/>
        </w:rPr>
        <w:t>,</w:t>
      </w:r>
      <w:r w:rsidRPr="00C65192">
        <w:rPr>
          <w:rFonts w:cs="Times New Roman"/>
          <w:szCs w:val="24"/>
        </w:rPr>
        <w:t xml:space="preserve"> </w:t>
      </w:r>
      <w:r w:rsidRPr="00380DD0">
        <w:rPr>
          <w:rFonts w:cs="Times New Roman"/>
          <w:szCs w:val="24"/>
        </w:rPr>
        <w:t>townships</w:t>
      </w:r>
      <w:r w:rsidR="00380DD0">
        <w:rPr>
          <w:rFonts w:cs="Times New Roman"/>
          <w:szCs w:val="24"/>
        </w:rPr>
        <w:t>, and road districts</w:t>
      </w:r>
      <w:r w:rsidRPr="00C65192">
        <w:rPr>
          <w:rFonts w:cs="Times New Roman"/>
          <w:szCs w:val="24"/>
        </w:rPr>
        <w:t xml:space="preserve"> to open, construct, maintain, relocat</w:t>
      </w:r>
      <w:r w:rsidR="00825FC9" w:rsidRPr="00C65192">
        <w:rPr>
          <w:rFonts w:cs="Times New Roman"/>
          <w:szCs w:val="24"/>
        </w:rPr>
        <w:t>e</w:t>
      </w:r>
      <w:r w:rsidRPr="00C65192">
        <w:rPr>
          <w:rFonts w:cs="Times New Roman"/>
          <w:szCs w:val="24"/>
        </w:rPr>
        <w:t>, access, or repair roadways f</w:t>
      </w:r>
      <w:r w:rsidR="00825FC9" w:rsidRPr="00C65192">
        <w:rPr>
          <w:rFonts w:cs="Times New Roman"/>
          <w:szCs w:val="24"/>
        </w:rPr>
        <w:t>alli</w:t>
      </w:r>
      <w:r w:rsidRPr="00C65192">
        <w:rPr>
          <w:rFonts w:cs="Times New Roman"/>
          <w:szCs w:val="24"/>
        </w:rPr>
        <w:t xml:space="preserve">ng under their respective jurisdiction and supervision. </w:t>
      </w:r>
    </w:p>
    <w:p w14:paraId="4A11326E" w14:textId="77777777" w:rsidR="00C65192" w:rsidRDefault="00C65192" w:rsidP="00C65192">
      <w:pPr>
        <w:pStyle w:val="ListParagraph"/>
        <w:ind w:left="1440"/>
        <w:rPr>
          <w:rFonts w:cs="Times New Roman"/>
          <w:szCs w:val="24"/>
        </w:rPr>
      </w:pPr>
    </w:p>
    <w:p w14:paraId="2BA66290" w14:textId="6350E4F3" w:rsidR="00C65192" w:rsidRDefault="0028173C" w:rsidP="00CA0E24">
      <w:pPr>
        <w:pStyle w:val="ListParagraph"/>
        <w:numPr>
          <w:ilvl w:val="1"/>
          <w:numId w:val="7"/>
        </w:numPr>
        <w:ind w:left="2160" w:hanging="720"/>
        <w:jc w:val="both"/>
        <w:rPr>
          <w:rFonts w:cs="Times New Roman"/>
          <w:szCs w:val="24"/>
        </w:rPr>
      </w:pPr>
      <w:r w:rsidRPr="00C65192">
        <w:rPr>
          <w:rFonts w:cs="Times New Roman"/>
          <w:szCs w:val="24"/>
        </w:rPr>
        <w:t xml:space="preserve">Furthermore, 605 ILCS 5/9-113 permits county units of government (and, by extension, </w:t>
      </w:r>
      <w:r w:rsidRPr="00380DD0">
        <w:rPr>
          <w:rFonts w:cs="Times New Roman"/>
          <w:szCs w:val="24"/>
        </w:rPr>
        <w:t>townships</w:t>
      </w:r>
      <w:r w:rsidR="00380DD0">
        <w:rPr>
          <w:rFonts w:cs="Times New Roman"/>
          <w:szCs w:val="24"/>
        </w:rPr>
        <w:t xml:space="preserve"> and road districts</w:t>
      </w:r>
      <w:r w:rsidRPr="00C65192">
        <w:rPr>
          <w:rFonts w:cs="Times New Roman"/>
          <w:szCs w:val="24"/>
        </w:rPr>
        <w:t xml:space="preserve"> as units of government under county supervision) to impose reasonable rules, regulations, and specifications for the use of highways under its supervision on both private and public utility companies. </w:t>
      </w:r>
    </w:p>
    <w:p w14:paraId="7731E943" w14:textId="77777777" w:rsidR="00C65192" w:rsidRDefault="00C65192" w:rsidP="00CA0E24">
      <w:pPr>
        <w:pStyle w:val="ListParagraph"/>
        <w:ind w:left="2160" w:hanging="720"/>
        <w:jc w:val="both"/>
        <w:rPr>
          <w:rFonts w:cs="Times New Roman"/>
          <w:szCs w:val="24"/>
        </w:rPr>
      </w:pPr>
    </w:p>
    <w:p w14:paraId="1B921E3E" w14:textId="4F32B6D6" w:rsidR="00C65192" w:rsidRPr="00C65192" w:rsidRDefault="0028173C" w:rsidP="00CA0E24">
      <w:pPr>
        <w:pStyle w:val="ListParagraph"/>
        <w:numPr>
          <w:ilvl w:val="1"/>
          <w:numId w:val="7"/>
        </w:numPr>
        <w:ind w:left="2160" w:hanging="720"/>
        <w:jc w:val="both"/>
        <w:rPr>
          <w:rFonts w:cs="Times New Roman"/>
          <w:szCs w:val="24"/>
        </w:rPr>
      </w:pPr>
      <w:r w:rsidRPr="00C65192">
        <w:rPr>
          <w:rFonts w:cs="Times New Roman"/>
          <w:szCs w:val="24"/>
        </w:rPr>
        <w:t xml:space="preserve">605 ILCS 5/9-113.01 then goes on to impose primary responsibility/liability on utilities for repair of any damage caused by their actions to a roadway under the jurisdiction of a local unit of government. </w:t>
      </w:r>
    </w:p>
    <w:p w14:paraId="689F00DA" w14:textId="77777777" w:rsidR="00430D78" w:rsidRPr="00C65192" w:rsidRDefault="00430D78" w:rsidP="00C65192">
      <w:pPr>
        <w:pStyle w:val="ListParagraph"/>
        <w:ind w:left="1440"/>
        <w:rPr>
          <w:rFonts w:cs="Times New Roman"/>
          <w:szCs w:val="24"/>
        </w:rPr>
      </w:pPr>
    </w:p>
    <w:p w14:paraId="52CECCF6" w14:textId="6A96E6F3" w:rsidR="00E3238D" w:rsidRPr="00B75197" w:rsidRDefault="00E3238D" w:rsidP="00CA0E24">
      <w:pPr>
        <w:pStyle w:val="ListParagraph"/>
        <w:numPr>
          <w:ilvl w:val="0"/>
          <w:numId w:val="7"/>
        </w:numPr>
        <w:ind w:left="1440" w:hanging="720"/>
        <w:jc w:val="both"/>
        <w:rPr>
          <w:rFonts w:cs="Times New Roman"/>
          <w:szCs w:val="24"/>
        </w:rPr>
      </w:pPr>
      <w:r w:rsidRPr="00C65192">
        <w:rPr>
          <w:rFonts w:cs="Times New Roman"/>
          <w:szCs w:val="24"/>
        </w:rPr>
        <w:t>However,</w:t>
      </w:r>
      <w:r w:rsidR="0028173C" w:rsidRPr="00C65192">
        <w:rPr>
          <w:rFonts w:cs="Times New Roman"/>
          <w:szCs w:val="24"/>
        </w:rPr>
        <w:t xml:space="preserve"> against this </w:t>
      </w:r>
      <w:r w:rsidR="00C65192">
        <w:rPr>
          <w:rFonts w:cs="Times New Roman"/>
          <w:szCs w:val="24"/>
        </w:rPr>
        <w:t xml:space="preserve">very general </w:t>
      </w:r>
      <w:r w:rsidR="0028173C" w:rsidRPr="00C65192">
        <w:rPr>
          <w:rFonts w:cs="Times New Roman"/>
          <w:szCs w:val="24"/>
        </w:rPr>
        <w:t>backdrop, it is important to consider the</w:t>
      </w:r>
      <w:r w:rsidRPr="00C65192">
        <w:rPr>
          <w:rFonts w:cs="Times New Roman"/>
          <w:szCs w:val="24"/>
        </w:rPr>
        <w:t xml:space="preserve"> different legal treatment afforded to different major utility projects</w:t>
      </w:r>
      <w:r w:rsidR="0016672D">
        <w:rPr>
          <w:rFonts w:cs="Times New Roman"/>
          <w:szCs w:val="24"/>
        </w:rPr>
        <w:t xml:space="preserve">- as utilities are </w:t>
      </w:r>
      <w:r w:rsidR="00EF3E1A">
        <w:rPr>
          <w:rFonts w:cs="Times New Roman"/>
          <w:szCs w:val="24"/>
        </w:rPr>
        <w:t xml:space="preserve">the </w:t>
      </w:r>
      <w:r w:rsidR="0016672D">
        <w:rPr>
          <w:rFonts w:cs="Times New Roman"/>
          <w:szCs w:val="24"/>
        </w:rPr>
        <w:t xml:space="preserve">parties </w:t>
      </w:r>
      <w:r w:rsidR="00B75197">
        <w:rPr>
          <w:rFonts w:cs="Times New Roman"/>
          <w:szCs w:val="24"/>
        </w:rPr>
        <w:t xml:space="preserve">often </w:t>
      </w:r>
      <w:r w:rsidR="0016672D">
        <w:rPr>
          <w:rFonts w:cs="Times New Roman"/>
          <w:szCs w:val="24"/>
        </w:rPr>
        <w:t xml:space="preserve">engaged in the large, intensive construction projects likely to justify </w:t>
      </w:r>
      <w:r w:rsidR="00B75197">
        <w:rPr>
          <w:rFonts w:cs="Times New Roman"/>
          <w:szCs w:val="24"/>
        </w:rPr>
        <w:t xml:space="preserve">a </w:t>
      </w:r>
      <w:r w:rsidR="00380DD0">
        <w:rPr>
          <w:rFonts w:cs="Times New Roman"/>
          <w:szCs w:val="24"/>
        </w:rPr>
        <w:t>road district’s</w:t>
      </w:r>
      <w:r w:rsidR="00B75197">
        <w:rPr>
          <w:rFonts w:cs="Times New Roman"/>
          <w:szCs w:val="24"/>
        </w:rPr>
        <w:t xml:space="preserve"> </w:t>
      </w:r>
      <w:r w:rsidR="00B75197" w:rsidRPr="00B75197">
        <w:rPr>
          <w:rFonts w:cs="Times New Roman"/>
          <w:szCs w:val="24"/>
        </w:rPr>
        <w:t xml:space="preserve">use of </w:t>
      </w:r>
      <w:r w:rsidR="00B75197">
        <w:rPr>
          <w:rFonts w:cs="Times New Roman"/>
          <w:szCs w:val="24"/>
        </w:rPr>
        <w:t xml:space="preserve">an </w:t>
      </w:r>
      <w:r w:rsidR="00B75197" w:rsidRPr="00B75197">
        <w:rPr>
          <w:rFonts w:cs="Times New Roman"/>
          <w:szCs w:val="24"/>
        </w:rPr>
        <w:t>RUA</w:t>
      </w:r>
      <w:r w:rsidRPr="00B75197">
        <w:rPr>
          <w:rFonts w:cs="Times New Roman"/>
          <w:szCs w:val="24"/>
        </w:rPr>
        <w:t xml:space="preserve">. </w:t>
      </w:r>
      <w:r w:rsidR="00380DD0">
        <w:rPr>
          <w:rFonts w:cs="Times New Roman"/>
          <w:szCs w:val="24"/>
        </w:rPr>
        <w:t xml:space="preserve"> </w:t>
      </w:r>
      <w:r w:rsidRPr="00B75197">
        <w:rPr>
          <w:rFonts w:cs="Times New Roman"/>
          <w:szCs w:val="24"/>
        </w:rPr>
        <w:t xml:space="preserve">Whereas oil pipelines, wind farms, and solar farms are primarily subject to grants of authority from their respective state, interstate natural gas pipelines are subjected to </w:t>
      </w:r>
      <w:r w:rsidR="00A7249B" w:rsidRPr="00B75197">
        <w:rPr>
          <w:rFonts w:cs="Times New Roman"/>
          <w:szCs w:val="24"/>
        </w:rPr>
        <w:t>comprehensive federal regulation</w:t>
      </w:r>
      <w:r w:rsidRPr="00B75197">
        <w:rPr>
          <w:rFonts w:cs="Times New Roman"/>
          <w:szCs w:val="24"/>
        </w:rPr>
        <w:t xml:space="preserve"> under the Natural Gas Act (“NGA”), 15 U.S.C. §§ 717, </w:t>
      </w:r>
      <w:r w:rsidRPr="00B75197">
        <w:rPr>
          <w:rFonts w:cs="Times New Roman"/>
          <w:i/>
          <w:szCs w:val="24"/>
        </w:rPr>
        <w:t>et. seq.</w:t>
      </w:r>
      <w:r w:rsidRPr="00B75197">
        <w:rPr>
          <w:rFonts w:cs="Times New Roman"/>
          <w:szCs w:val="24"/>
        </w:rPr>
        <w:t xml:space="preserve">, which vests exclusive regulatory jurisdiction in the Federal Energy Regulatory Commission </w:t>
      </w:r>
      <w:r w:rsidRPr="00B75197">
        <w:rPr>
          <w:rFonts w:cs="Times New Roman"/>
          <w:szCs w:val="24"/>
        </w:rPr>
        <w:lastRenderedPageBreak/>
        <w:t>(“FERC”)</w:t>
      </w:r>
      <w:r w:rsidR="00A7249B" w:rsidRPr="00B75197">
        <w:rPr>
          <w:rFonts w:cs="Times New Roman"/>
          <w:szCs w:val="24"/>
        </w:rPr>
        <w:t xml:space="preserve"> over the transportation and sale of natural gas in interstate commerce</w:t>
      </w:r>
      <w:r w:rsidR="0001154C" w:rsidRPr="00B75197">
        <w:rPr>
          <w:rFonts w:cs="Times New Roman"/>
          <w:szCs w:val="24"/>
        </w:rPr>
        <w:t xml:space="preserve">. </w:t>
      </w:r>
      <w:proofErr w:type="spellStart"/>
      <w:r w:rsidR="00A7249B" w:rsidRPr="00B75197">
        <w:rPr>
          <w:rFonts w:cs="Times New Roman"/>
          <w:i/>
          <w:szCs w:val="24"/>
        </w:rPr>
        <w:t>Schneidewind</w:t>
      </w:r>
      <w:proofErr w:type="spellEnd"/>
      <w:r w:rsidR="00A7249B" w:rsidRPr="00B75197">
        <w:rPr>
          <w:rFonts w:cs="Times New Roman"/>
          <w:i/>
          <w:szCs w:val="24"/>
        </w:rPr>
        <w:t xml:space="preserve"> v. ANR Pipeline Co.</w:t>
      </w:r>
      <w:r w:rsidR="00A7249B" w:rsidRPr="00B75197">
        <w:rPr>
          <w:rFonts w:cs="Times New Roman"/>
          <w:szCs w:val="24"/>
        </w:rPr>
        <w:t xml:space="preserve">, 485 U.S. 293, 300-01 (1988). </w:t>
      </w:r>
    </w:p>
    <w:p w14:paraId="109426C9" w14:textId="77777777" w:rsidR="00C65192" w:rsidRPr="00C65192" w:rsidRDefault="00C65192" w:rsidP="00C65192">
      <w:pPr>
        <w:pStyle w:val="ListParagraph"/>
        <w:rPr>
          <w:rFonts w:cs="Times New Roman"/>
          <w:szCs w:val="24"/>
        </w:rPr>
      </w:pPr>
    </w:p>
    <w:p w14:paraId="11EC88D0" w14:textId="7E6AD9A7" w:rsidR="00C65192" w:rsidRDefault="00A7249B" w:rsidP="00CA0E24">
      <w:pPr>
        <w:pStyle w:val="ListParagraph"/>
        <w:numPr>
          <w:ilvl w:val="0"/>
          <w:numId w:val="8"/>
        </w:numPr>
        <w:jc w:val="both"/>
        <w:rPr>
          <w:rFonts w:cs="Times New Roman"/>
          <w:szCs w:val="24"/>
        </w:rPr>
      </w:pPr>
      <w:r w:rsidRPr="00C65192">
        <w:rPr>
          <w:rFonts w:cs="Times New Roman"/>
          <w:szCs w:val="24"/>
        </w:rPr>
        <w:t xml:space="preserve">FERC’s regulatory scheme for interstate natural gas carriers is all-embracing and detailed, a centerpiece of which is the issuance of a “certificate of public convenience and necessity” before any natural gas facility involved in interstate commerce is constructed, extended, acquired, or operated. 15 U.S.C. § 717f(c)(1)(A). </w:t>
      </w:r>
    </w:p>
    <w:p w14:paraId="642CDDE4" w14:textId="77777777" w:rsidR="00C65192" w:rsidRDefault="00C65192" w:rsidP="00CA0E24">
      <w:pPr>
        <w:pStyle w:val="ListParagraph"/>
        <w:ind w:left="2160"/>
        <w:jc w:val="both"/>
        <w:rPr>
          <w:rFonts w:cs="Times New Roman"/>
          <w:szCs w:val="24"/>
        </w:rPr>
      </w:pPr>
    </w:p>
    <w:p w14:paraId="2ACC3E90" w14:textId="58E93C96" w:rsidR="00C65192" w:rsidRDefault="00C75265" w:rsidP="00CA0E24">
      <w:pPr>
        <w:pStyle w:val="ListParagraph"/>
        <w:numPr>
          <w:ilvl w:val="0"/>
          <w:numId w:val="8"/>
        </w:numPr>
        <w:jc w:val="both"/>
        <w:rPr>
          <w:rFonts w:cs="Times New Roman"/>
          <w:szCs w:val="24"/>
        </w:rPr>
      </w:pPr>
      <w:r w:rsidRPr="00C65192">
        <w:rPr>
          <w:rFonts w:cs="Times New Roman"/>
          <w:szCs w:val="24"/>
        </w:rPr>
        <w:t>The United States Supreme Court has held that when a state regulation affects FERC’s ability to comprehensively regulate the transportation and sale of natural gas, to achieve the uniformity of regulation which was the NGA’s objective</w:t>
      </w:r>
      <w:r w:rsidR="0060767F" w:rsidRPr="00C65192">
        <w:rPr>
          <w:rFonts w:cs="Times New Roman"/>
          <w:szCs w:val="24"/>
        </w:rPr>
        <w:t>,</w:t>
      </w:r>
      <w:r w:rsidRPr="00C65192">
        <w:rPr>
          <w:rFonts w:cs="Times New Roman"/>
          <w:szCs w:val="24"/>
        </w:rPr>
        <w:t xml:space="preserve"> or presents the possibility of interference with federal authorities’ regulatory power, then the state law at issue will be preempted. </w:t>
      </w:r>
      <w:proofErr w:type="spellStart"/>
      <w:r w:rsidRPr="00C65192">
        <w:rPr>
          <w:rFonts w:cs="Times New Roman"/>
          <w:i/>
          <w:szCs w:val="24"/>
        </w:rPr>
        <w:t>Schneidewind</w:t>
      </w:r>
      <w:proofErr w:type="spellEnd"/>
      <w:r w:rsidR="001317A0" w:rsidRPr="00C65192">
        <w:rPr>
          <w:rFonts w:cs="Times New Roman"/>
          <w:szCs w:val="24"/>
        </w:rPr>
        <w:t xml:space="preserve">, 485 U.S. at 310. </w:t>
      </w:r>
    </w:p>
    <w:p w14:paraId="06C63EFB" w14:textId="77777777" w:rsidR="00C65192" w:rsidRDefault="00C65192" w:rsidP="00CA0E24">
      <w:pPr>
        <w:pStyle w:val="ListParagraph"/>
        <w:ind w:left="2160"/>
        <w:jc w:val="both"/>
        <w:rPr>
          <w:rFonts w:cs="Times New Roman"/>
          <w:szCs w:val="24"/>
        </w:rPr>
      </w:pPr>
    </w:p>
    <w:p w14:paraId="6A0058CB" w14:textId="7BEA1727" w:rsidR="00430D78" w:rsidRPr="00430D78" w:rsidRDefault="00465843" w:rsidP="00CA0E24">
      <w:pPr>
        <w:pStyle w:val="ListParagraph"/>
        <w:numPr>
          <w:ilvl w:val="0"/>
          <w:numId w:val="8"/>
        </w:numPr>
        <w:jc w:val="both"/>
        <w:rPr>
          <w:rFonts w:cs="Times New Roman"/>
          <w:szCs w:val="24"/>
        </w:rPr>
      </w:pPr>
      <w:r w:rsidRPr="00C65192">
        <w:rPr>
          <w:rFonts w:cs="Times New Roman"/>
          <w:szCs w:val="24"/>
        </w:rPr>
        <w:t xml:space="preserve">The “exclusive and plenary” authority of FERC in this field </w:t>
      </w:r>
      <w:r w:rsidR="00C65192">
        <w:rPr>
          <w:rFonts w:cs="Times New Roman"/>
          <w:szCs w:val="24"/>
        </w:rPr>
        <w:t>has also been</w:t>
      </w:r>
      <w:r w:rsidRPr="00C65192">
        <w:rPr>
          <w:rFonts w:cs="Times New Roman"/>
          <w:szCs w:val="24"/>
        </w:rPr>
        <w:t xml:space="preserve"> recognized by the Illinois Supreme Court in </w:t>
      </w:r>
      <w:r w:rsidRPr="00C65192">
        <w:rPr>
          <w:rFonts w:cs="Times New Roman"/>
          <w:i/>
          <w:szCs w:val="24"/>
        </w:rPr>
        <w:t xml:space="preserve">General Motors Corp. v. Illinois Commerce </w:t>
      </w:r>
      <w:proofErr w:type="spellStart"/>
      <w:r w:rsidRPr="00C65192">
        <w:rPr>
          <w:rFonts w:cs="Times New Roman"/>
          <w:i/>
          <w:szCs w:val="24"/>
        </w:rPr>
        <w:t>Com’n</w:t>
      </w:r>
      <w:proofErr w:type="spellEnd"/>
      <w:r w:rsidRPr="00C65192">
        <w:rPr>
          <w:rFonts w:cs="Times New Roman"/>
          <w:szCs w:val="24"/>
        </w:rPr>
        <w:t xml:space="preserve">, 143 Ill.2d 407, 416 (1991). </w:t>
      </w:r>
    </w:p>
    <w:p w14:paraId="0AAD0E40" w14:textId="77777777" w:rsidR="00430D78" w:rsidRDefault="00430D78" w:rsidP="00430D78">
      <w:pPr>
        <w:pStyle w:val="ListParagraph"/>
        <w:rPr>
          <w:rFonts w:cs="Times New Roman"/>
          <w:szCs w:val="24"/>
        </w:rPr>
      </w:pPr>
    </w:p>
    <w:p w14:paraId="1253D8E1" w14:textId="7999570A" w:rsidR="00C65192" w:rsidRPr="00430D78" w:rsidRDefault="001317A0" w:rsidP="00CA0E24">
      <w:pPr>
        <w:pStyle w:val="ListParagraph"/>
        <w:numPr>
          <w:ilvl w:val="0"/>
          <w:numId w:val="7"/>
        </w:numPr>
        <w:ind w:left="1440" w:hanging="720"/>
        <w:jc w:val="both"/>
        <w:rPr>
          <w:rFonts w:cs="Times New Roman"/>
          <w:szCs w:val="24"/>
        </w:rPr>
      </w:pPr>
      <w:r w:rsidRPr="00430D78">
        <w:rPr>
          <w:rFonts w:cs="Times New Roman"/>
          <w:szCs w:val="24"/>
        </w:rPr>
        <w:t xml:space="preserve">Despite the strong preemptive effect of the NGA, FERC’s so-called “rule of reason” directs that certificate holders engaged in interstate natural gas transmission are to attempt to cooperate with state and local legal requirements. </w:t>
      </w:r>
      <w:r w:rsidRPr="00430D78">
        <w:rPr>
          <w:rFonts w:cs="Times New Roman"/>
          <w:i/>
          <w:szCs w:val="24"/>
        </w:rPr>
        <w:t xml:space="preserve">Mountain Valley Pipeline, LLC v. </w:t>
      </w:r>
      <w:proofErr w:type="spellStart"/>
      <w:r w:rsidRPr="00430D78">
        <w:rPr>
          <w:rFonts w:cs="Times New Roman"/>
          <w:i/>
          <w:szCs w:val="24"/>
        </w:rPr>
        <w:t>Wender</w:t>
      </w:r>
      <w:proofErr w:type="spellEnd"/>
      <w:r w:rsidRPr="00430D78">
        <w:rPr>
          <w:rFonts w:cs="Times New Roman"/>
          <w:szCs w:val="24"/>
        </w:rPr>
        <w:t xml:space="preserve">, 2018 WL 4169098, ¶ 8 (S.D. W.V. D.C., 2018). </w:t>
      </w:r>
    </w:p>
    <w:p w14:paraId="42E140BD" w14:textId="77777777" w:rsidR="00C65192" w:rsidRDefault="00C65192" w:rsidP="00C65192">
      <w:pPr>
        <w:pStyle w:val="ListParagraph"/>
        <w:rPr>
          <w:rFonts w:cs="Times New Roman"/>
          <w:szCs w:val="24"/>
        </w:rPr>
      </w:pPr>
    </w:p>
    <w:p w14:paraId="4ADEED90" w14:textId="567D678E" w:rsidR="00C65192" w:rsidRDefault="00F159AA" w:rsidP="00E30A5B">
      <w:pPr>
        <w:pStyle w:val="ListParagraph"/>
        <w:numPr>
          <w:ilvl w:val="0"/>
          <w:numId w:val="10"/>
        </w:numPr>
        <w:ind w:left="2160" w:hanging="720"/>
        <w:jc w:val="both"/>
        <w:rPr>
          <w:rFonts w:cs="Times New Roman"/>
          <w:szCs w:val="24"/>
        </w:rPr>
      </w:pPr>
      <w:r w:rsidRPr="00C65192">
        <w:rPr>
          <w:rFonts w:cs="Times New Roman"/>
          <w:szCs w:val="24"/>
        </w:rPr>
        <w:t xml:space="preserve">Thus, state and local laws having only an indirect or incidental effect on interstate natural gas facilities </w:t>
      </w:r>
      <w:r w:rsidR="0060767F" w:rsidRPr="00C65192">
        <w:rPr>
          <w:rFonts w:cs="Times New Roman"/>
          <w:szCs w:val="24"/>
        </w:rPr>
        <w:t>will</w:t>
      </w:r>
      <w:r w:rsidRPr="00C65192">
        <w:rPr>
          <w:rFonts w:cs="Times New Roman"/>
          <w:szCs w:val="24"/>
        </w:rPr>
        <w:t xml:space="preserve"> not be preempted. </w:t>
      </w:r>
      <w:r w:rsidRPr="00C65192">
        <w:rPr>
          <w:rFonts w:cs="Times New Roman"/>
          <w:i/>
          <w:szCs w:val="24"/>
        </w:rPr>
        <w:t xml:space="preserve">Rockies Exp. Pipeline LLC v. Indiana Natural Resources </w:t>
      </w:r>
      <w:proofErr w:type="spellStart"/>
      <w:r w:rsidRPr="00C65192">
        <w:rPr>
          <w:rFonts w:cs="Times New Roman"/>
          <w:i/>
          <w:szCs w:val="24"/>
        </w:rPr>
        <w:t>Com’n</w:t>
      </w:r>
      <w:proofErr w:type="spellEnd"/>
      <w:r w:rsidRPr="00C65192">
        <w:rPr>
          <w:rFonts w:cs="Times New Roman"/>
          <w:szCs w:val="24"/>
        </w:rPr>
        <w:t xml:space="preserve">, 2010 WL 3882513, ¶ 3 (S.D. Ind. D.C., 2010). </w:t>
      </w:r>
    </w:p>
    <w:p w14:paraId="23FA84B6" w14:textId="77777777" w:rsidR="00C65192" w:rsidRDefault="00C65192" w:rsidP="00C65192">
      <w:pPr>
        <w:pStyle w:val="ListParagraph"/>
        <w:ind w:left="1800"/>
        <w:rPr>
          <w:rFonts w:cs="Times New Roman"/>
          <w:szCs w:val="24"/>
        </w:rPr>
      </w:pPr>
    </w:p>
    <w:p w14:paraId="3CDAFF26" w14:textId="5A0BF369" w:rsidR="001317A0" w:rsidRDefault="001317A0" w:rsidP="00E30A5B">
      <w:pPr>
        <w:pStyle w:val="ListParagraph"/>
        <w:numPr>
          <w:ilvl w:val="0"/>
          <w:numId w:val="10"/>
        </w:numPr>
        <w:ind w:left="2160" w:hanging="720"/>
        <w:jc w:val="both"/>
        <w:rPr>
          <w:rFonts w:cs="Times New Roman"/>
          <w:szCs w:val="24"/>
        </w:rPr>
      </w:pPr>
      <w:r w:rsidRPr="00C65192">
        <w:rPr>
          <w:rFonts w:cs="Times New Roman"/>
          <w:szCs w:val="24"/>
        </w:rPr>
        <w:t xml:space="preserve">While this </w:t>
      </w:r>
      <w:r w:rsidR="00F159AA" w:rsidRPr="00C65192">
        <w:rPr>
          <w:rFonts w:cs="Times New Roman"/>
          <w:szCs w:val="24"/>
        </w:rPr>
        <w:t xml:space="preserve">principle </w:t>
      </w:r>
      <w:r w:rsidRPr="00C65192">
        <w:rPr>
          <w:rFonts w:cs="Times New Roman"/>
          <w:szCs w:val="24"/>
        </w:rPr>
        <w:t xml:space="preserve">would </w:t>
      </w:r>
      <w:r w:rsidR="00F159AA" w:rsidRPr="00C65192">
        <w:rPr>
          <w:rFonts w:cs="Times New Roman"/>
          <w:szCs w:val="24"/>
        </w:rPr>
        <w:t xml:space="preserve">invalidate state or local permitting related to the placement of a facility approved under a FERC-issued certificate, the material covered by an RUA would presumably be just the type of local regulations to which the rule of reason would sanction </w:t>
      </w:r>
      <w:r w:rsidR="0060767F" w:rsidRPr="00C65192">
        <w:rPr>
          <w:rFonts w:cs="Times New Roman"/>
          <w:szCs w:val="24"/>
        </w:rPr>
        <w:t xml:space="preserve">gas company </w:t>
      </w:r>
      <w:r w:rsidR="00F159AA" w:rsidRPr="00C65192">
        <w:rPr>
          <w:rFonts w:cs="Times New Roman"/>
          <w:szCs w:val="24"/>
        </w:rPr>
        <w:t xml:space="preserve">adherence. </w:t>
      </w:r>
      <w:r w:rsidR="007A033B" w:rsidRPr="00C65192">
        <w:rPr>
          <w:rFonts w:cs="Times New Roman"/>
          <w:szCs w:val="24"/>
        </w:rPr>
        <w:t xml:space="preserve">In line with this principle, FERC permits often contain language along the lines of that involved in </w:t>
      </w:r>
      <w:r w:rsidR="007A033B" w:rsidRPr="00C65192">
        <w:rPr>
          <w:rFonts w:cs="Times New Roman"/>
          <w:i/>
          <w:szCs w:val="24"/>
        </w:rPr>
        <w:t>Rockies Exp. Pipeline</w:t>
      </w:r>
      <w:r w:rsidR="007A033B" w:rsidRPr="00C65192">
        <w:rPr>
          <w:rFonts w:cs="Times New Roman"/>
          <w:szCs w:val="24"/>
        </w:rPr>
        <w:t>:</w:t>
      </w:r>
    </w:p>
    <w:p w14:paraId="1785E0E2" w14:textId="77777777" w:rsidR="00E30A5B" w:rsidRPr="00C65192" w:rsidRDefault="00E30A5B" w:rsidP="00E30A5B">
      <w:pPr>
        <w:pStyle w:val="ListParagraph"/>
        <w:ind w:left="2160"/>
        <w:jc w:val="both"/>
        <w:rPr>
          <w:rFonts w:cs="Times New Roman"/>
          <w:szCs w:val="24"/>
        </w:rPr>
      </w:pPr>
    </w:p>
    <w:p w14:paraId="2E555DA9" w14:textId="68875823" w:rsidR="00430D78" w:rsidRDefault="007A033B" w:rsidP="00E30A5B">
      <w:pPr>
        <w:ind w:left="2520" w:right="720"/>
        <w:jc w:val="both"/>
        <w:rPr>
          <w:rFonts w:cs="Times New Roman"/>
          <w:szCs w:val="24"/>
        </w:rPr>
      </w:pPr>
      <w:r w:rsidRPr="007A033B">
        <w:rPr>
          <w:rFonts w:cs="Times New Roman"/>
          <w:szCs w:val="24"/>
        </w:rPr>
        <w:t>Any state or local permits issued with respect to the jurisdictional facilities authorized herein must be consistent with the conditions of this certificate. We encourage cooperation between interstate pipelines and local authorities. However, this does not mean that state and local agencies, through application of state or local laws, may prohibit or unreasonably delay the construction or operation of facilities approved by this Commission.</w:t>
      </w:r>
      <w:r>
        <w:rPr>
          <w:rFonts w:cs="Times New Roman"/>
          <w:szCs w:val="24"/>
        </w:rPr>
        <w:t xml:space="preserve"> </w:t>
      </w:r>
      <w:r>
        <w:rPr>
          <w:rFonts w:cs="Times New Roman"/>
          <w:i/>
          <w:szCs w:val="24"/>
        </w:rPr>
        <w:t>Id</w:t>
      </w:r>
      <w:r>
        <w:rPr>
          <w:rFonts w:cs="Times New Roman"/>
          <w:szCs w:val="24"/>
        </w:rPr>
        <w:t>. at 2.</w:t>
      </w:r>
    </w:p>
    <w:p w14:paraId="79765C98" w14:textId="77777777" w:rsidR="00E30A5B" w:rsidRDefault="00E30A5B" w:rsidP="00430D78">
      <w:pPr>
        <w:ind w:left="2160"/>
        <w:rPr>
          <w:rFonts w:cs="Times New Roman"/>
          <w:szCs w:val="24"/>
        </w:rPr>
      </w:pPr>
    </w:p>
    <w:p w14:paraId="2530181A" w14:textId="6D03443A" w:rsidR="0016672D" w:rsidRDefault="00F159AA" w:rsidP="00E30A5B">
      <w:pPr>
        <w:pStyle w:val="ListParagraph"/>
        <w:numPr>
          <w:ilvl w:val="0"/>
          <w:numId w:val="7"/>
        </w:numPr>
        <w:ind w:left="1440" w:hanging="720"/>
        <w:jc w:val="both"/>
        <w:rPr>
          <w:rFonts w:cs="Times New Roman"/>
          <w:szCs w:val="24"/>
        </w:rPr>
      </w:pPr>
      <w:r w:rsidRPr="0016672D">
        <w:rPr>
          <w:rFonts w:cs="Times New Roman"/>
          <w:szCs w:val="24"/>
        </w:rPr>
        <w:lastRenderedPageBreak/>
        <w:t>In contrast, oil pipelines receive relatively light-handed regulatory treatment</w:t>
      </w:r>
      <w:r w:rsidR="00056767" w:rsidRPr="0016672D">
        <w:rPr>
          <w:rFonts w:cs="Times New Roman"/>
          <w:szCs w:val="24"/>
        </w:rPr>
        <w:t xml:space="preserve">, with state and local government having primary authority in this area. This state of affairs was sanctioned by the United States Supreme Court in </w:t>
      </w:r>
      <w:r w:rsidR="00056767" w:rsidRPr="0016672D">
        <w:rPr>
          <w:rFonts w:cs="Times New Roman"/>
          <w:i/>
          <w:szCs w:val="24"/>
        </w:rPr>
        <w:t>Burford v. Sun Oil Co.</w:t>
      </w:r>
      <w:r w:rsidR="00056767" w:rsidRPr="0016672D">
        <w:rPr>
          <w:rFonts w:cs="Times New Roman"/>
          <w:szCs w:val="24"/>
        </w:rPr>
        <w:t xml:space="preserve">, 319 U.S. 315 (1943), a decision in which the Court declined to rule on the merits of an order of the Railroad Commission of Texas. The Court reasoned that the state court had greater expertise in this complex area and also noted the unique significance of the oil industry to the state of Texas in reaching this conclusion. </w:t>
      </w:r>
    </w:p>
    <w:p w14:paraId="315D6473" w14:textId="77777777" w:rsidR="0016672D" w:rsidRPr="0016672D" w:rsidRDefault="0016672D" w:rsidP="0016672D">
      <w:pPr>
        <w:pStyle w:val="ListParagraph"/>
        <w:rPr>
          <w:rFonts w:cs="Times New Roman"/>
          <w:szCs w:val="24"/>
        </w:rPr>
      </w:pPr>
    </w:p>
    <w:p w14:paraId="73645D29" w14:textId="25B99F63" w:rsidR="00B75197" w:rsidRDefault="00056767" w:rsidP="00E30A5B">
      <w:pPr>
        <w:pStyle w:val="ListParagraph"/>
        <w:numPr>
          <w:ilvl w:val="1"/>
          <w:numId w:val="7"/>
        </w:numPr>
        <w:ind w:left="2160" w:hanging="720"/>
        <w:jc w:val="both"/>
        <w:rPr>
          <w:rFonts w:cs="Times New Roman"/>
          <w:szCs w:val="24"/>
        </w:rPr>
      </w:pPr>
      <w:r w:rsidRPr="0016672D">
        <w:rPr>
          <w:rFonts w:cs="Times New Roman"/>
          <w:szCs w:val="24"/>
        </w:rPr>
        <w:t xml:space="preserve">Therefore, while </w:t>
      </w:r>
      <w:r w:rsidR="007A033B" w:rsidRPr="0016672D">
        <w:rPr>
          <w:rFonts w:cs="Times New Roman"/>
          <w:szCs w:val="24"/>
        </w:rPr>
        <w:t>interstate natural gas pipelines receive their certificate of public necessity from FERC, even oil pipelines which cross state lines must receive their certificate from the Illinois Commerce Commission for operations in this state (</w:t>
      </w:r>
      <w:r w:rsidR="007A033B" w:rsidRPr="0016672D">
        <w:rPr>
          <w:rFonts w:cs="Times New Roman"/>
          <w:i/>
          <w:szCs w:val="24"/>
        </w:rPr>
        <w:t xml:space="preserve">See </w:t>
      </w:r>
      <w:proofErr w:type="spellStart"/>
      <w:r w:rsidR="007A033B" w:rsidRPr="0016672D">
        <w:rPr>
          <w:rFonts w:cs="Times New Roman"/>
          <w:i/>
          <w:szCs w:val="24"/>
        </w:rPr>
        <w:t>Pliu</w:t>
      </w:r>
      <w:r w:rsidR="00465843" w:rsidRPr="0016672D">
        <w:rPr>
          <w:rFonts w:cs="Times New Roman"/>
          <w:i/>
          <w:szCs w:val="24"/>
        </w:rPr>
        <w:t>ra</w:t>
      </w:r>
      <w:proofErr w:type="spellEnd"/>
      <w:r w:rsidR="00465843" w:rsidRPr="0016672D">
        <w:rPr>
          <w:rFonts w:cs="Times New Roman"/>
          <w:i/>
          <w:szCs w:val="24"/>
        </w:rPr>
        <w:t xml:space="preserve"> Intervenors v. Illinois Commerce </w:t>
      </w:r>
      <w:proofErr w:type="spellStart"/>
      <w:r w:rsidR="00465843" w:rsidRPr="0016672D">
        <w:rPr>
          <w:rFonts w:cs="Times New Roman"/>
          <w:i/>
          <w:szCs w:val="24"/>
        </w:rPr>
        <w:t>Com’n</w:t>
      </w:r>
      <w:proofErr w:type="spellEnd"/>
      <w:r w:rsidR="00465843" w:rsidRPr="0016672D">
        <w:rPr>
          <w:rFonts w:cs="Times New Roman"/>
          <w:szCs w:val="24"/>
        </w:rPr>
        <w:t>, 405 Ill.App.3d 199 (4</w:t>
      </w:r>
      <w:r w:rsidR="00465843" w:rsidRPr="0016672D">
        <w:rPr>
          <w:rFonts w:cs="Times New Roman"/>
          <w:szCs w:val="24"/>
          <w:vertAlign w:val="superscript"/>
        </w:rPr>
        <w:t>th</w:t>
      </w:r>
      <w:r w:rsidR="00465843" w:rsidRPr="0016672D">
        <w:rPr>
          <w:rFonts w:cs="Times New Roman"/>
          <w:szCs w:val="24"/>
        </w:rPr>
        <w:t xml:space="preserve"> Dist. 2010), in which a common carrier oil pipeline applied for a Certificate in Good Standing under 220 ILCS 5/15-401 to construct a pipeline extension)</w:t>
      </w:r>
      <w:r w:rsidR="007A033B" w:rsidRPr="0016672D">
        <w:rPr>
          <w:rFonts w:cs="Times New Roman"/>
          <w:szCs w:val="24"/>
        </w:rPr>
        <w:t xml:space="preserve">. </w:t>
      </w:r>
    </w:p>
    <w:p w14:paraId="5D245548" w14:textId="77777777" w:rsidR="00EF3E1A" w:rsidRPr="00EF3E1A" w:rsidRDefault="00EF3E1A" w:rsidP="00EF3E1A">
      <w:pPr>
        <w:pStyle w:val="ListParagraph"/>
        <w:ind w:left="1440"/>
        <w:rPr>
          <w:rFonts w:cs="Times New Roman"/>
          <w:szCs w:val="24"/>
        </w:rPr>
      </w:pPr>
    </w:p>
    <w:p w14:paraId="4D30CB68" w14:textId="63F83669" w:rsidR="00B75197" w:rsidRDefault="00B75197" w:rsidP="00E30A5B">
      <w:pPr>
        <w:pStyle w:val="ListParagraph"/>
        <w:numPr>
          <w:ilvl w:val="0"/>
          <w:numId w:val="7"/>
        </w:numPr>
        <w:ind w:left="1440" w:hanging="720"/>
        <w:jc w:val="both"/>
        <w:rPr>
          <w:rFonts w:cs="Times New Roman"/>
          <w:szCs w:val="24"/>
        </w:rPr>
      </w:pPr>
      <w:r>
        <w:rPr>
          <w:rFonts w:cs="Times New Roman"/>
          <w:szCs w:val="24"/>
        </w:rPr>
        <w:t>Finally, w</w:t>
      </w:r>
      <w:r w:rsidR="002236C7" w:rsidRPr="0016672D">
        <w:rPr>
          <w:rFonts w:cs="Times New Roman"/>
          <w:szCs w:val="24"/>
        </w:rPr>
        <w:t xml:space="preserve">ind </w:t>
      </w:r>
      <w:r>
        <w:rPr>
          <w:rFonts w:cs="Times New Roman"/>
          <w:szCs w:val="24"/>
        </w:rPr>
        <w:t>and</w:t>
      </w:r>
      <w:r w:rsidR="002236C7" w:rsidRPr="0016672D">
        <w:rPr>
          <w:rFonts w:cs="Times New Roman"/>
          <w:szCs w:val="24"/>
        </w:rPr>
        <w:t xml:space="preserve"> solar farms are likely to face regulatory supervision primarily at the level of the local zoning board. </w:t>
      </w:r>
    </w:p>
    <w:p w14:paraId="444C4DFC" w14:textId="77777777" w:rsidR="00B75197" w:rsidRDefault="00B75197" w:rsidP="00B75197">
      <w:pPr>
        <w:pStyle w:val="ListParagraph"/>
        <w:rPr>
          <w:rFonts w:cs="Times New Roman"/>
          <w:szCs w:val="24"/>
        </w:rPr>
      </w:pPr>
    </w:p>
    <w:p w14:paraId="37951931" w14:textId="29387716" w:rsidR="002236C7" w:rsidRPr="00B75197" w:rsidRDefault="002236C7" w:rsidP="00E30A5B">
      <w:pPr>
        <w:pStyle w:val="ListParagraph"/>
        <w:numPr>
          <w:ilvl w:val="0"/>
          <w:numId w:val="12"/>
        </w:numPr>
        <w:jc w:val="both"/>
        <w:rPr>
          <w:rFonts w:cs="Times New Roman"/>
          <w:szCs w:val="24"/>
        </w:rPr>
      </w:pPr>
      <w:r w:rsidRPr="00B75197">
        <w:rPr>
          <w:rFonts w:cs="Times New Roman"/>
          <w:szCs w:val="24"/>
        </w:rPr>
        <w:t>Thus, to the extent federal regulation of gas projects by FERC is unlikely to inhibit a local government body’s attempt to incidentally regulate the transportation of heavy machinery and equipment over roads it owns and maintains, the barriers to recognition and enforcement of an RUA</w:t>
      </w:r>
      <w:r w:rsidR="0060767F" w:rsidRPr="00B75197">
        <w:rPr>
          <w:rFonts w:cs="Times New Roman"/>
          <w:szCs w:val="24"/>
        </w:rPr>
        <w:t>’</w:t>
      </w:r>
      <w:r w:rsidRPr="00B75197">
        <w:rPr>
          <w:rFonts w:cs="Times New Roman"/>
          <w:szCs w:val="24"/>
        </w:rPr>
        <w:t xml:space="preserve">s main provisions are even less </w:t>
      </w:r>
      <w:r w:rsidR="0060767F" w:rsidRPr="00B75197">
        <w:rPr>
          <w:rFonts w:cs="Times New Roman"/>
          <w:szCs w:val="24"/>
        </w:rPr>
        <w:t xml:space="preserve">significant </w:t>
      </w:r>
      <w:r w:rsidRPr="00B75197">
        <w:rPr>
          <w:rFonts w:cs="Times New Roman"/>
          <w:szCs w:val="24"/>
        </w:rPr>
        <w:t xml:space="preserve">with oil pipelines and renewable energy projects. </w:t>
      </w:r>
    </w:p>
    <w:p w14:paraId="60500F6C" w14:textId="77777777" w:rsidR="00430D78" w:rsidRPr="00E3238D" w:rsidRDefault="00430D78">
      <w:pPr>
        <w:rPr>
          <w:rFonts w:cs="Times New Roman"/>
          <w:szCs w:val="24"/>
        </w:rPr>
      </w:pPr>
    </w:p>
    <w:p w14:paraId="4855483E" w14:textId="605725E4" w:rsidR="00D06A46" w:rsidRPr="00E30A5B" w:rsidRDefault="00E30A5B" w:rsidP="00E30A5B">
      <w:pPr>
        <w:pStyle w:val="ListParagraph"/>
        <w:numPr>
          <w:ilvl w:val="0"/>
          <w:numId w:val="23"/>
        </w:numPr>
        <w:ind w:left="720"/>
        <w:rPr>
          <w:rFonts w:cs="Times New Roman"/>
          <w:szCs w:val="24"/>
          <w:u w:val="single"/>
        </w:rPr>
      </w:pPr>
      <w:r w:rsidRPr="00E30A5B">
        <w:rPr>
          <w:rFonts w:cs="Times New Roman"/>
          <w:szCs w:val="24"/>
          <w:u w:val="single"/>
        </w:rPr>
        <w:t>Model Road Use Agreement Provisions</w:t>
      </w:r>
    </w:p>
    <w:p w14:paraId="10BA374E" w14:textId="77777777" w:rsidR="00E30A5B" w:rsidRDefault="00E30A5B" w:rsidP="00D06A46">
      <w:pPr>
        <w:rPr>
          <w:rFonts w:cs="Times New Roman"/>
          <w:szCs w:val="24"/>
        </w:rPr>
      </w:pPr>
    </w:p>
    <w:p w14:paraId="3171CAAA" w14:textId="1EDCF47F" w:rsidR="00895416" w:rsidRDefault="00E30A5B" w:rsidP="00E30A5B">
      <w:pPr>
        <w:jc w:val="both"/>
        <w:rPr>
          <w:rFonts w:cs="Times New Roman"/>
          <w:szCs w:val="24"/>
        </w:rPr>
      </w:pPr>
      <w:r>
        <w:rPr>
          <w:rFonts w:cs="Times New Roman"/>
          <w:szCs w:val="24"/>
        </w:rPr>
        <w:tab/>
      </w:r>
      <w:r w:rsidR="00895416">
        <w:rPr>
          <w:rFonts w:cs="Times New Roman"/>
          <w:szCs w:val="24"/>
        </w:rPr>
        <w:t xml:space="preserve">Aside from general provisions common to all commercial contracts, some particular sections a </w:t>
      </w:r>
      <w:r>
        <w:rPr>
          <w:rFonts w:cs="Times New Roman"/>
          <w:szCs w:val="24"/>
        </w:rPr>
        <w:t>road district</w:t>
      </w:r>
      <w:r w:rsidR="00895416">
        <w:rPr>
          <w:rFonts w:cs="Times New Roman"/>
          <w:szCs w:val="24"/>
        </w:rPr>
        <w:t xml:space="preserve"> implementing an RUA might consider include the following:</w:t>
      </w:r>
    </w:p>
    <w:p w14:paraId="6E542A0A" w14:textId="77777777" w:rsidR="00E30A5B" w:rsidRPr="00895416" w:rsidRDefault="00E30A5B" w:rsidP="00E30A5B">
      <w:pPr>
        <w:jc w:val="both"/>
        <w:rPr>
          <w:rFonts w:cs="Times New Roman"/>
          <w:szCs w:val="24"/>
        </w:rPr>
      </w:pPr>
    </w:p>
    <w:p w14:paraId="7F8B1ADC" w14:textId="466D16F3" w:rsidR="00D06A46" w:rsidRPr="00737BBF" w:rsidRDefault="008918D0" w:rsidP="00E30A5B">
      <w:pPr>
        <w:pStyle w:val="ListParagraph"/>
        <w:numPr>
          <w:ilvl w:val="0"/>
          <w:numId w:val="3"/>
        </w:numPr>
        <w:ind w:left="1440" w:hanging="720"/>
        <w:jc w:val="both"/>
        <w:rPr>
          <w:rFonts w:cs="Times New Roman"/>
          <w:b/>
          <w:szCs w:val="24"/>
        </w:rPr>
      </w:pPr>
      <w:r>
        <w:rPr>
          <w:rFonts w:cs="Times New Roman"/>
          <w:szCs w:val="24"/>
        </w:rPr>
        <w:t>A</w:t>
      </w:r>
      <w:r w:rsidR="00737BBF">
        <w:rPr>
          <w:rFonts w:cs="Times New Roman"/>
          <w:szCs w:val="24"/>
        </w:rPr>
        <w:t xml:space="preserve"> d</w:t>
      </w:r>
      <w:r w:rsidR="00E779B4" w:rsidRPr="00B75197">
        <w:rPr>
          <w:rFonts w:cs="Times New Roman"/>
          <w:szCs w:val="24"/>
        </w:rPr>
        <w:t xml:space="preserve">escription of the </w:t>
      </w:r>
      <w:r w:rsidR="002D1258" w:rsidRPr="00B75197">
        <w:rPr>
          <w:rFonts w:cs="Times New Roman"/>
          <w:szCs w:val="24"/>
        </w:rPr>
        <w:t>p</w:t>
      </w:r>
      <w:r w:rsidR="00E779B4" w:rsidRPr="00B75197">
        <w:rPr>
          <w:rFonts w:cs="Times New Roman"/>
          <w:szCs w:val="24"/>
        </w:rPr>
        <w:t xml:space="preserve">roject’s </w:t>
      </w:r>
      <w:r w:rsidR="002D1258" w:rsidRPr="00B75197">
        <w:rPr>
          <w:rFonts w:cs="Times New Roman"/>
          <w:szCs w:val="24"/>
        </w:rPr>
        <w:t>g</w:t>
      </w:r>
      <w:r w:rsidR="00E779B4" w:rsidRPr="00B75197">
        <w:rPr>
          <w:rFonts w:cs="Times New Roman"/>
          <w:szCs w:val="24"/>
        </w:rPr>
        <w:t xml:space="preserve">eneral </w:t>
      </w:r>
      <w:r w:rsidR="002D1258" w:rsidRPr="00B75197">
        <w:rPr>
          <w:rFonts w:cs="Times New Roman"/>
          <w:szCs w:val="24"/>
        </w:rPr>
        <w:t>n</w:t>
      </w:r>
      <w:r w:rsidR="00E779B4" w:rsidRPr="00B75197">
        <w:rPr>
          <w:rFonts w:cs="Times New Roman"/>
          <w:szCs w:val="24"/>
        </w:rPr>
        <w:t>ature</w:t>
      </w:r>
      <w:r w:rsidR="002D1258" w:rsidRPr="00B75197">
        <w:rPr>
          <w:rFonts w:cs="Times New Roman"/>
          <w:szCs w:val="24"/>
        </w:rPr>
        <w:t xml:space="preserve"> and </w:t>
      </w:r>
      <w:r w:rsidR="00737BBF">
        <w:rPr>
          <w:rFonts w:cs="Times New Roman"/>
          <w:szCs w:val="24"/>
        </w:rPr>
        <w:t>a statement broadly defining the</w:t>
      </w:r>
      <w:r w:rsidR="002D1258" w:rsidRPr="00B75197">
        <w:rPr>
          <w:rFonts w:cs="Times New Roman"/>
          <w:szCs w:val="24"/>
        </w:rPr>
        <w:t xml:space="preserve"> parties subject to the RUA’s provisions</w:t>
      </w:r>
      <w:r w:rsidR="0060767F" w:rsidRPr="00B75197">
        <w:rPr>
          <w:rFonts w:cs="Times New Roman"/>
          <w:szCs w:val="24"/>
        </w:rPr>
        <w:t>.</w:t>
      </w:r>
    </w:p>
    <w:p w14:paraId="215904FE" w14:textId="77777777" w:rsidR="00737BBF" w:rsidRPr="00737BBF" w:rsidRDefault="00737BBF" w:rsidP="00737BBF">
      <w:pPr>
        <w:pStyle w:val="ListParagraph"/>
        <w:rPr>
          <w:rFonts w:cs="Times New Roman"/>
          <w:b/>
          <w:szCs w:val="24"/>
        </w:rPr>
      </w:pPr>
    </w:p>
    <w:p w14:paraId="1DCA66A3" w14:textId="3331F087" w:rsidR="009A17C5" w:rsidRPr="00BA6097" w:rsidRDefault="002D1258" w:rsidP="00E30A5B">
      <w:pPr>
        <w:pStyle w:val="ListParagraph"/>
        <w:numPr>
          <w:ilvl w:val="0"/>
          <w:numId w:val="13"/>
        </w:numPr>
        <w:ind w:left="2160" w:hanging="720"/>
        <w:jc w:val="both"/>
        <w:rPr>
          <w:rFonts w:cs="Times New Roman"/>
          <w:b/>
          <w:szCs w:val="24"/>
        </w:rPr>
      </w:pPr>
      <w:r w:rsidRPr="00737BBF">
        <w:rPr>
          <w:rFonts w:cs="Times New Roman"/>
          <w:szCs w:val="24"/>
        </w:rPr>
        <w:t xml:space="preserve">The </w:t>
      </w:r>
      <w:r w:rsidR="00737BBF">
        <w:rPr>
          <w:rFonts w:cs="Times New Roman"/>
          <w:szCs w:val="24"/>
        </w:rPr>
        <w:t>party responsible for the construction project</w:t>
      </w:r>
      <w:r w:rsidRPr="00737BBF">
        <w:rPr>
          <w:rFonts w:cs="Times New Roman"/>
          <w:szCs w:val="24"/>
        </w:rPr>
        <w:t xml:space="preserve"> should be defined expansively so </w:t>
      </w:r>
      <w:r w:rsidR="008918D0">
        <w:rPr>
          <w:rFonts w:cs="Times New Roman"/>
          <w:szCs w:val="24"/>
        </w:rPr>
        <w:t>its</w:t>
      </w:r>
      <w:r w:rsidRPr="00737BBF">
        <w:rPr>
          <w:rFonts w:cs="Times New Roman"/>
          <w:szCs w:val="24"/>
        </w:rPr>
        <w:t xml:space="preserve"> direct employees, contractors, sub-contractors, vendors, etc. are all covered under the terms of the agreement</w:t>
      </w:r>
      <w:r w:rsidR="0060767F" w:rsidRPr="00737BBF">
        <w:rPr>
          <w:rFonts w:cs="Times New Roman"/>
          <w:szCs w:val="24"/>
        </w:rPr>
        <w:t>.</w:t>
      </w:r>
      <w:r w:rsidRPr="00737BBF">
        <w:rPr>
          <w:rFonts w:cs="Times New Roman"/>
          <w:szCs w:val="24"/>
        </w:rPr>
        <w:t xml:space="preserve"> </w:t>
      </w:r>
      <w:r w:rsidR="00737BBF">
        <w:rPr>
          <w:rFonts w:cs="Times New Roman"/>
          <w:szCs w:val="24"/>
        </w:rPr>
        <w:t xml:space="preserve">It is likely that a wide variety of different parties will participate in some aspect of the construction process and have some involvement in the transportation of heavy machinery and/or oversized loads. </w:t>
      </w:r>
    </w:p>
    <w:p w14:paraId="343C74AB" w14:textId="77777777" w:rsidR="00BA6097" w:rsidRPr="009A17C5" w:rsidRDefault="00BA6097" w:rsidP="00E30A5B">
      <w:pPr>
        <w:pStyle w:val="ListParagraph"/>
        <w:ind w:left="1440"/>
        <w:jc w:val="both"/>
        <w:rPr>
          <w:rFonts w:cs="Times New Roman"/>
          <w:b/>
          <w:szCs w:val="24"/>
        </w:rPr>
      </w:pPr>
    </w:p>
    <w:p w14:paraId="30E53868" w14:textId="5ED0A701" w:rsidR="00E30A5B" w:rsidRDefault="0086642D" w:rsidP="00E30A5B">
      <w:pPr>
        <w:pStyle w:val="ListParagraph"/>
        <w:numPr>
          <w:ilvl w:val="0"/>
          <w:numId w:val="13"/>
        </w:numPr>
        <w:ind w:left="2160" w:hanging="720"/>
        <w:jc w:val="both"/>
        <w:rPr>
          <w:rFonts w:cs="Times New Roman"/>
          <w:b/>
          <w:szCs w:val="24"/>
        </w:rPr>
      </w:pPr>
      <w:r>
        <w:rPr>
          <w:rFonts w:cs="Times New Roman"/>
          <w:szCs w:val="24"/>
        </w:rPr>
        <w:t xml:space="preserve">As the </w:t>
      </w:r>
      <w:r w:rsidR="00DF30A5">
        <w:rPr>
          <w:rFonts w:cs="Times New Roman"/>
          <w:szCs w:val="24"/>
        </w:rPr>
        <w:t>road district</w:t>
      </w:r>
      <w:r>
        <w:rPr>
          <w:rFonts w:cs="Times New Roman"/>
          <w:szCs w:val="24"/>
        </w:rPr>
        <w:t xml:space="preserve"> would </w:t>
      </w:r>
      <w:r w:rsidR="009A17C5">
        <w:rPr>
          <w:rFonts w:cs="Times New Roman"/>
          <w:szCs w:val="24"/>
        </w:rPr>
        <w:t xml:space="preserve">bear responsibility for costs and face potential liability in the absence of an agreement allocating expenses and risk otherwise, </w:t>
      </w:r>
      <w:r w:rsidR="00BA6097">
        <w:rPr>
          <w:rFonts w:cs="Times New Roman"/>
          <w:szCs w:val="24"/>
        </w:rPr>
        <w:t xml:space="preserve">the RUA should make clear that the parties involved in moving oversized loads over public roadways are accountable for any liability and </w:t>
      </w:r>
      <w:r w:rsidR="00BA6097">
        <w:rPr>
          <w:rFonts w:cs="Times New Roman"/>
          <w:szCs w:val="24"/>
        </w:rPr>
        <w:lastRenderedPageBreak/>
        <w:t>damages attributable to the strain</w:t>
      </w:r>
      <w:r w:rsidR="008918D0">
        <w:rPr>
          <w:rFonts w:cs="Times New Roman"/>
          <w:szCs w:val="24"/>
        </w:rPr>
        <w:t xml:space="preserve"> their activities place</w:t>
      </w:r>
      <w:r w:rsidR="00BA6097">
        <w:rPr>
          <w:rFonts w:cs="Times New Roman"/>
          <w:szCs w:val="24"/>
        </w:rPr>
        <w:t xml:space="preserve"> on the </w:t>
      </w:r>
      <w:r w:rsidR="00DF30A5">
        <w:rPr>
          <w:rFonts w:cs="Times New Roman"/>
          <w:szCs w:val="24"/>
        </w:rPr>
        <w:t>road district</w:t>
      </w:r>
      <w:r w:rsidR="00BA6097">
        <w:rPr>
          <w:rFonts w:cs="Times New Roman"/>
          <w:szCs w:val="24"/>
        </w:rPr>
        <w:t xml:space="preserve"> roads. </w:t>
      </w:r>
    </w:p>
    <w:p w14:paraId="64B1B09E" w14:textId="77777777" w:rsidR="00E30A5B" w:rsidRPr="00E30A5B" w:rsidRDefault="00E30A5B" w:rsidP="00E30A5B">
      <w:pPr>
        <w:pStyle w:val="ListParagraph"/>
        <w:rPr>
          <w:rFonts w:cs="Times New Roman"/>
          <w:szCs w:val="24"/>
        </w:rPr>
      </w:pPr>
    </w:p>
    <w:p w14:paraId="1DEAB5CB" w14:textId="1FB654F0" w:rsidR="00DD31FE" w:rsidRPr="00E30A5B" w:rsidRDefault="00DD31FE" w:rsidP="00DF30A5">
      <w:pPr>
        <w:pStyle w:val="ListParagraph"/>
        <w:numPr>
          <w:ilvl w:val="0"/>
          <w:numId w:val="25"/>
        </w:numPr>
        <w:ind w:hanging="720"/>
        <w:jc w:val="both"/>
        <w:rPr>
          <w:rFonts w:cs="Times New Roman"/>
          <w:b/>
          <w:szCs w:val="24"/>
        </w:rPr>
      </w:pPr>
      <w:r w:rsidRPr="00E30A5B">
        <w:rPr>
          <w:rFonts w:cs="Times New Roman"/>
          <w:szCs w:val="24"/>
        </w:rPr>
        <w:t>Additionally, the agreement should state as a general rule that the party responsible for the construction project bears legal responsibility for costs associated with implementation of the RUA, whether they be legal fees, engineering expenses, labor costs, etc.</w:t>
      </w:r>
    </w:p>
    <w:p w14:paraId="6D20B290" w14:textId="77777777" w:rsidR="000111D0" w:rsidRDefault="000111D0" w:rsidP="000111D0">
      <w:pPr>
        <w:pStyle w:val="ListParagraph"/>
        <w:rPr>
          <w:rFonts w:cs="Times New Roman"/>
          <w:szCs w:val="24"/>
        </w:rPr>
      </w:pPr>
    </w:p>
    <w:p w14:paraId="0A75A227" w14:textId="74E884AB" w:rsidR="009D7CDA" w:rsidRPr="00BA6097" w:rsidRDefault="00E779B4" w:rsidP="00E30A5B">
      <w:pPr>
        <w:pStyle w:val="ListParagraph"/>
        <w:numPr>
          <w:ilvl w:val="0"/>
          <w:numId w:val="3"/>
        </w:numPr>
        <w:ind w:left="1440" w:hanging="720"/>
        <w:jc w:val="both"/>
        <w:rPr>
          <w:rFonts w:cs="Times New Roman"/>
          <w:szCs w:val="24"/>
        </w:rPr>
      </w:pPr>
      <w:r w:rsidRPr="00BA6097">
        <w:rPr>
          <w:rFonts w:cs="Times New Roman"/>
          <w:szCs w:val="24"/>
        </w:rPr>
        <w:t xml:space="preserve">Whether prepared by the </w:t>
      </w:r>
      <w:r w:rsidR="00BA6097">
        <w:rPr>
          <w:rFonts w:cs="Times New Roman"/>
          <w:szCs w:val="24"/>
        </w:rPr>
        <w:t>project leader</w:t>
      </w:r>
      <w:r w:rsidRPr="00BA6097">
        <w:rPr>
          <w:rFonts w:cs="Times New Roman"/>
          <w:szCs w:val="24"/>
        </w:rPr>
        <w:t xml:space="preserve"> or an outside consultant, maps should be provided by the </w:t>
      </w:r>
      <w:r w:rsidR="008918D0">
        <w:rPr>
          <w:rFonts w:cs="Times New Roman"/>
          <w:szCs w:val="24"/>
        </w:rPr>
        <w:t>project manager</w:t>
      </w:r>
      <w:r w:rsidRPr="00BA6097">
        <w:rPr>
          <w:rFonts w:cs="Times New Roman"/>
          <w:szCs w:val="24"/>
        </w:rPr>
        <w:t xml:space="preserve"> </w:t>
      </w:r>
      <w:r w:rsidR="00F36EC7" w:rsidRPr="00BA6097">
        <w:rPr>
          <w:rFonts w:cs="Times New Roman"/>
          <w:szCs w:val="24"/>
        </w:rPr>
        <w:t xml:space="preserve">and approved by the </w:t>
      </w:r>
      <w:r w:rsidR="00DF30A5">
        <w:rPr>
          <w:rFonts w:cs="Times New Roman"/>
          <w:szCs w:val="24"/>
        </w:rPr>
        <w:t>road district</w:t>
      </w:r>
      <w:r w:rsidR="00F36EC7" w:rsidRPr="00BA6097">
        <w:rPr>
          <w:rFonts w:cs="Times New Roman"/>
          <w:szCs w:val="24"/>
        </w:rPr>
        <w:t xml:space="preserve"> </w:t>
      </w:r>
      <w:r w:rsidR="0060767F" w:rsidRPr="00BA6097">
        <w:rPr>
          <w:rFonts w:cs="Times New Roman"/>
          <w:szCs w:val="24"/>
        </w:rPr>
        <w:t>which show</w:t>
      </w:r>
      <w:r w:rsidR="007C158B" w:rsidRPr="00BA6097">
        <w:rPr>
          <w:rFonts w:cs="Times New Roman"/>
          <w:szCs w:val="24"/>
        </w:rPr>
        <w:t>:</w:t>
      </w:r>
    </w:p>
    <w:p w14:paraId="1AA2B74A" w14:textId="77777777" w:rsidR="000D4370" w:rsidRDefault="000D4370" w:rsidP="000D4370">
      <w:pPr>
        <w:pStyle w:val="ListParagraph"/>
        <w:ind w:left="1140"/>
        <w:rPr>
          <w:rFonts w:cs="Times New Roman"/>
          <w:szCs w:val="24"/>
        </w:rPr>
      </w:pPr>
    </w:p>
    <w:p w14:paraId="1E57BE2B" w14:textId="23BFA7A8" w:rsidR="009D7CDA" w:rsidRPr="00BA6097" w:rsidRDefault="009D7CDA" w:rsidP="00DF30A5">
      <w:pPr>
        <w:pStyle w:val="ListParagraph"/>
        <w:numPr>
          <w:ilvl w:val="0"/>
          <w:numId w:val="14"/>
        </w:numPr>
        <w:ind w:left="2160"/>
        <w:jc w:val="both"/>
        <w:rPr>
          <w:rFonts w:cs="Times New Roman"/>
          <w:szCs w:val="24"/>
        </w:rPr>
      </w:pPr>
      <w:r w:rsidRPr="00BA6097">
        <w:rPr>
          <w:rFonts w:cs="Times New Roman"/>
          <w:szCs w:val="24"/>
        </w:rPr>
        <w:t>T</w:t>
      </w:r>
      <w:r w:rsidR="00E779B4" w:rsidRPr="00BA6097">
        <w:rPr>
          <w:rFonts w:cs="Times New Roman"/>
          <w:szCs w:val="24"/>
        </w:rPr>
        <w:t>he route or affected area of the project</w:t>
      </w:r>
      <w:r w:rsidRPr="00BA6097">
        <w:rPr>
          <w:rFonts w:cs="Times New Roman"/>
          <w:szCs w:val="24"/>
        </w:rPr>
        <w:t xml:space="preserve"> within the </w:t>
      </w:r>
      <w:r w:rsidR="00DF30A5">
        <w:rPr>
          <w:rFonts w:cs="Times New Roman"/>
          <w:szCs w:val="24"/>
        </w:rPr>
        <w:t>road district</w:t>
      </w:r>
      <w:r w:rsidRPr="00BA6097">
        <w:rPr>
          <w:rFonts w:cs="Times New Roman"/>
          <w:szCs w:val="24"/>
        </w:rPr>
        <w:t xml:space="preserve">’s jurisdictional borders; and </w:t>
      </w:r>
    </w:p>
    <w:p w14:paraId="7BC36AA5" w14:textId="77777777" w:rsidR="000D4370" w:rsidRDefault="000D4370" w:rsidP="00DF30A5">
      <w:pPr>
        <w:pStyle w:val="ListParagraph"/>
        <w:ind w:left="2160" w:hanging="720"/>
        <w:jc w:val="both"/>
        <w:rPr>
          <w:rFonts w:cs="Times New Roman"/>
          <w:szCs w:val="24"/>
        </w:rPr>
      </w:pPr>
    </w:p>
    <w:p w14:paraId="5C381AE7" w14:textId="1FB78987" w:rsidR="00430D78" w:rsidRPr="00430D78" w:rsidRDefault="009D7CDA" w:rsidP="00DF30A5">
      <w:pPr>
        <w:pStyle w:val="ListParagraph"/>
        <w:numPr>
          <w:ilvl w:val="0"/>
          <w:numId w:val="14"/>
        </w:numPr>
        <w:ind w:left="2160"/>
        <w:jc w:val="both"/>
        <w:rPr>
          <w:rFonts w:cs="Times New Roman"/>
          <w:szCs w:val="24"/>
        </w:rPr>
      </w:pPr>
      <w:r w:rsidRPr="00BA6097">
        <w:rPr>
          <w:rFonts w:cs="Times New Roman"/>
          <w:szCs w:val="24"/>
        </w:rPr>
        <w:t>T</w:t>
      </w:r>
      <w:r w:rsidR="00E779B4" w:rsidRPr="00BA6097">
        <w:rPr>
          <w:rFonts w:cs="Times New Roman"/>
          <w:szCs w:val="24"/>
        </w:rPr>
        <w:t xml:space="preserve">he </w:t>
      </w:r>
      <w:r w:rsidRPr="00BA6097">
        <w:rPr>
          <w:rFonts w:cs="Times New Roman"/>
          <w:szCs w:val="24"/>
        </w:rPr>
        <w:t>particular route/roadways</w:t>
      </w:r>
      <w:r w:rsidR="000111D0" w:rsidRPr="00BA6097">
        <w:rPr>
          <w:rFonts w:cs="Times New Roman"/>
          <w:szCs w:val="24"/>
        </w:rPr>
        <w:t>/crossings</w:t>
      </w:r>
      <w:r w:rsidR="00E779B4" w:rsidRPr="00BA6097">
        <w:rPr>
          <w:rFonts w:cs="Times New Roman"/>
          <w:szCs w:val="24"/>
        </w:rPr>
        <w:t xml:space="preserve"> over which heavy equipment and/or materials </w:t>
      </w:r>
      <w:r w:rsidR="0060767F" w:rsidRPr="00BA6097">
        <w:rPr>
          <w:rFonts w:cs="Times New Roman"/>
          <w:szCs w:val="24"/>
        </w:rPr>
        <w:t>are to</w:t>
      </w:r>
      <w:r w:rsidR="00E779B4" w:rsidRPr="00BA6097">
        <w:rPr>
          <w:rFonts w:cs="Times New Roman"/>
          <w:szCs w:val="24"/>
        </w:rPr>
        <w:t xml:space="preserve"> be transported to</w:t>
      </w:r>
      <w:r w:rsidRPr="00BA6097">
        <w:rPr>
          <w:rFonts w:cs="Times New Roman"/>
          <w:szCs w:val="24"/>
        </w:rPr>
        <w:t xml:space="preserve"> and from</w:t>
      </w:r>
      <w:r w:rsidR="00E779B4" w:rsidRPr="00BA6097">
        <w:rPr>
          <w:rFonts w:cs="Times New Roman"/>
          <w:szCs w:val="24"/>
        </w:rPr>
        <w:t xml:space="preserve"> the project site</w:t>
      </w:r>
      <w:r w:rsidRPr="00BA6097">
        <w:rPr>
          <w:rFonts w:cs="Times New Roman"/>
          <w:szCs w:val="24"/>
        </w:rPr>
        <w:t>.</w:t>
      </w:r>
    </w:p>
    <w:p w14:paraId="3B7C65E3" w14:textId="77777777" w:rsidR="008918D0" w:rsidRDefault="008918D0" w:rsidP="00430D78">
      <w:pPr>
        <w:pStyle w:val="ListParagraph"/>
        <w:rPr>
          <w:rFonts w:cs="Times New Roman"/>
          <w:szCs w:val="24"/>
        </w:rPr>
      </w:pPr>
    </w:p>
    <w:p w14:paraId="4730AE72" w14:textId="4434BA5E" w:rsidR="000E5E2D" w:rsidRPr="00BA6097" w:rsidRDefault="00BA6097" w:rsidP="00E30A5B">
      <w:pPr>
        <w:pStyle w:val="ListParagraph"/>
        <w:numPr>
          <w:ilvl w:val="0"/>
          <w:numId w:val="3"/>
        </w:numPr>
        <w:ind w:left="1440" w:hanging="720"/>
        <w:jc w:val="both"/>
        <w:rPr>
          <w:rFonts w:cs="Times New Roman"/>
          <w:szCs w:val="24"/>
        </w:rPr>
      </w:pPr>
      <w:r>
        <w:rPr>
          <w:rFonts w:cs="Times New Roman"/>
          <w:szCs w:val="24"/>
        </w:rPr>
        <w:t>Additionally, t</w:t>
      </w:r>
      <w:r w:rsidR="00504F3D" w:rsidRPr="00BA6097">
        <w:rPr>
          <w:rFonts w:cs="Times New Roman"/>
          <w:szCs w:val="24"/>
        </w:rPr>
        <w:t>he roadways</w:t>
      </w:r>
      <w:r w:rsidR="000111D0" w:rsidRPr="00BA6097">
        <w:rPr>
          <w:rFonts w:cs="Times New Roman"/>
          <w:szCs w:val="24"/>
        </w:rPr>
        <w:t xml:space="preserve"> and crossings</w:t>
      </w:r>
      <w:r w:rsidR="00504F3D" w:rsidRPr="00BA6097">
        <w:rPr>
          <w:rFonts w:cs="Times New Roman"/>
          <w:szCs w:val="24"/>
        </w:rPr>
        <w:t xml:space="preserve"> identified</w:t>
      </w:r>
      <w:r w:rsidR="00DB0700">
        <w:rPr>
          <w:rFonts w:cs="Times New Roman"/>
          <w:szCs w:val="24"/>
        </w:rPr>
        <w:t xml:space="preserve"> and mapped out</w:t>
      </w:r>
      <w:r w:rsidR="00504F3D" w:rsidRPr="00BA6097">
        <w:rPr>
          <w:rFonts w:cs="Times New Roman"/>
          <w:szCs w:val="24"/>
        </w:rPr>
        <w:t xml:space="preserve"> as the route for transportation of equipment</w:t>
      </w:r>
      <w:r w:rsidR="00DB0700">
        <w:rPr>
          <w:rFonts w:cs="Times New Roman"/>
          <w:szCs w:val="24"/>
        </w:rPr>
        <w:t xml:space="preserve"> and </w:t>
      </w:r>
      <w:r w:rsidR="00504F3D" w:rsidRPr="00BA6097">
        <w:rPr>
          <w:rFonts w:cs="Times New Roman"/>
          <w:szCs w:val="24"/>
        </w:rPr>
        <w:t xml:space="preserve">materials should be inspected by a third-party </w:t>
      </w:r>
      <w:r w:rsidR="00497E8A">
        <w:rPr>
          <w:rFonts w:cs="Times New Roman"/>
          <w:szCs w:val="24"/>
        </w:rPr>
        <w:t>consultant</w:t>
      </w:r>
      <w:r w:rsidR="00504F3D" w:rsidRPr="00BA6097">
        <w:rPr>
          <w:rFonts w:cs="Times New Roman"/>
          <w:szCs w:val="24"/>
        </w:rPr>
        <w:t xml:space="preserve"> prior to the commencement of work on the project</w:t>
      </w:r>
      <w:r w:rsidR="00825962" w:rsidRPr="00BA6097">
        <w:rPr>
          <w:rFonts w:cs="Times New Roman"/>
          <w:szCs w:val="24"/>
        </w:rPr>
        <w:t>. Such a road inventory</w:t>
      </w:r>
      <w:r w:rsidR="00464DB8">
        <w:rPr>
          <w:rFonts w:cs="Times New Roman"/>
          <w:szCs w:val="24"/>
        </w:rPr>
        <w:t>/</w:t>
      </w:r>
      <w:r w:rsidR="00825962" w:rsidRPr="00BA6097">
        <w:rPr>
          <w:rFonts w:cs="Times New Roman"/>
          <w:szCs w:val="24"/>
        </w:rPr>
        <w:t>survey will provide a pre-construction baseline on the condition of the roads</w:t>
      </w:r>
      <w:r w:rsidR="00DB0700">
        <w:rPr>
          <w:rFonts w:cs="Times New Roman"/>
          <w:szCs w:val="24"/>
        </w:rPr>
        <w:t xml:space="preserve"> against which an inspection using the same methodology following project completion is to be compared against. Such pre and post-construction inspections/surveys are to form the basis for the </w:t>
      </w:r>
      <w:r w:rsidR="00DF30A5">
        <w:rPr>
          <w:rFonts w:cs="Times New Roman"/>
          <w:szCs w:val="24"/>
        </w:rPr>
        <w:t>road district</w:t>
      </w:r>
      <w:r w:rsidR="00DB0700">
        <w:rPr>
          <w:rFonts w:cs="Times New Roman"/>
          <w:szCs w:val="24"/>
        </w:rPr>
        <w:t xml:space="preserve">’s negotiations with the </w:t>
      </w:r>
      <w:r w:rsidR="005E1261">
        <w:rPr>
          <w:rFonts w:cs="Times New Roman"/>
          <w:szCs w:val="24"/>
        </w:rPr>
        <w:t xml:space="preserve">other parties </w:t>
      </w:r>
      <w:r w:rsidR="00464DB8">
        <w:rPr>
          <w:rFonts w:cs="Times New Roman"/>
          <w:szCs w:val="24"/>
        </w:rPr>
        <w:t>concerning recovery of</w:t>
      </w:r>
      <w:r w:rsidR="005E1261">
        <w:rPr>
          <w:rFonts w:cs="Times New Roman"/>
          <w:szCs w:val="24"/>
        </w:rPr>
        <w:t xml:space="preserve"> damages to </w:t>
      </w:r>
      <w:r w:rsidR="00464DB8">
        <w:rPr>
          <w:rFonts w:cs="Times New Roman"/>
          <w:szCs w:val="24"/>
        </w:rPr>
        <w:t xml:space="preserve">the </w:t>
      </w:r>
      <w:r w:rsidR="00DF30A5">
        <w:rPr>
          <w:rFonts w:cs="Times New Roman"/>
          <w:szCs w:val="24"/>
        </w:rPr>
        <w:t>road district</w:t>
      </w:r>
      <w:r w:rsidR="00464DB8">
        <w:rPr>
          <w:rFonts w:cs="Times New Roman"/>
          <w:szCs w:val="24"/>
        </w:rPr>
        <w:t>’s</w:t>
      </w:r>
      <w:r w:rsidR="005E1261">
        <w:rPr>
          <w:rFonts w:cs="Times New Roman"/>
          <w:szCs w:val="24"/>
        </w:rPr>
        <w:t xml:space="preserve"> roadways. </w:t>
      </w:r>
    </w:p>
    <w:p w14:paraId="2A5F2FF5" w14:textId="77777777" w:rsidR="000E5E2D" w:rsidRPr="000E5E2D" w:rsidRDefault="000E5E2D" w:rsidP="000E5E2D">
      <w:pPr>
        <w:pStyle w:val="ListParagraph"/>
        <w:rPr>
          <w:rFonts w:cs="Times New Roman"/>
          <w:szCs w:val="24"/>
        </w:rPr>
      </w:pPr>
    </w:p>
    <w:p w14:paraId="112BE507" w14:textId="125EED56" w:rsidR="005F3B2C" w:rsidRPr="005538DE" w:rsidRDefault="00825962" w:rsidP="00DF30A5">
      <w:pPr>
        <w:pStyle w:val="ListParagraph"/>
        <w:numPr>
          <w:ilvl w:val="0"/>
          <w:numId w:val="15"/>
        </w:numPr>
        <w:ind w:left="2160" w:hanging="720"/>
        <w:jc w:val="both"/>
        <w:rPr>
          <w:rFonts w:cs="Times New Roman"/>
          <w:szCs w:val="24"/>
        </w:rPr>
      </w:pPr>
      <w:r w:rsidRPr="005538DE">
        <w:rPr>
          <w:rFonts w:cs="Times New Roman"/>
          <w:szCs w:val="24"/>
        </w:rPr>
        <w:t xml:space="preserve">If any additional roadways are to be used/crossed as part of the project, a </w:t>
      </w:r>
      <w:r w:rsidR="00F93616" w:rsidRPr="005538DE">
        <w:rPr>
          <w:rFonts w:cs="Times New Roman"/>
          <w:szCs w:val="24"/>
        </w:rPr>
        <w:t>similar inspection process is to be employed at t</w:t>
      </w:r>
      <w:r w:rsidR="005E1261" w:rsidRPr="005538DE">
        <w:rPr>
          <w:rFonts w:cs="Times New Roman"/>
          <w:szCs w:val="24"/>
        </w:rPr>
        <w:t>he</w:t>
      </w:r>
      <w:r w:rsidR="00F93616" w:rsidRPr="005538DE">
        <w:rPr>
          <w:rFonts w:cs="Times New Roman"/>
          <w:szCs w:val="24"/>
        </w:rPr>
        <w:t xml:space="preserve"> expense</w:t>
      </w:r>
      <w:r w:rsidR="005E1261" w:rsidRPr="005538DE">
        <w:rPr>
          <w:rFonts w:cs="Times New Roman"/>
          <w:szCs w:val="24"/>
        </w:rPr>
        <w:t xml:space="preserve"> of those responsible for the construction and the movement of oversized loads over the </w:t>
      </w:r>
      <w:r w:rsidR="00DF30A5">
        <w:rPr>
          <w:rFonts w:cs="Times New Roman"/>
          <w:szCs w:val="24"/>
        </w:rPr>
        <w:t>road district</w:t>
      </w:r>
      <w:r w:rsidR="005E1261" w:rsidRPr="005538DE">
        <w:rPr>
          <w:rFonts w:cs="Times New Roman"/>
          <w:szCs w:val="24"/>
        </w:rPr>
        <w:t xml:space="preserve">’s roads. </w:t>
      </w:r>
    </w:p>
    <w:p w14:paraId="56417216" w14:textId="09AB7172" w:rsidR="00825962" w:rsidRDefault="00F93616" w:rsidP="005F3B2C">
      <w:pPr>
        <w:pStyle w:val="ListParagraph"/>
        <w:ind w:left="1440"/>
        <w:rPr>
          <w:rFonts w:cs="Times New Roman"/>
          <w:szCs w:val="24"/>
        </w:rPr>
      </w:pPr>
      <w:r>
        <w:rPr>
          <w:rFonts w:cs="Times New Roman"/>
          <w:szCs w:val="24"/>
        </w:rPr>
        <w:t xml:space="preserve"> </w:t>
      </w:r>
    </w:p>
    <w:p w14:paraId="5D53900B" w14:textId="16B43AF0" w:rsidR="00963D48" w:rsidRDefault="00F93616" w:rsidP="00DF30A5">
      <w:pPr>
        <w:pStyle w:val="ListParagraph"/>
        <w:numPr>
          <w:ilvl w:val="0"/>
          <w:numId w:val="16"/>
        </w:numPr>
        <w:ind w:hanging="720"/>
        <w:jc w:val="both"/>
        <w:rPr>
          <w:rFonts w:cs="Times New Roman"/>
          <w:szCs w:val="24"/>
        </w:rPr>
      </w:pPr>
      <w:r>
        <w:rPr>
          <w:rFonts w:cs="Times New Roman"/>
          <w:szCs w:val="24"/>
        </w:rPr>
        <w:t xml:space="preserve">In the likely event that an oversized </w:t>
      </w:r>
      <w:r w:rsidR="00464DB8">
        <w:rPr>
          <w:rFonts w:cs="Times New Roman"/>
          <w:szCs w:val="24"/>
        </w:rPr>
        <w:t>associated with the project</w:t>
      </w:r>
      <w:r>
        <w:rPr>
          <w:rFonts w:cs="Times New Roman"/>
          <w:szCs w:val="24"/>
        </w:rPr>
        <w:t xml:space="preserve"> inadvertently uses an unpermitted roadway or crossing, the RUA might spell out how t</w:t>
      </w:r>
      <w:r w:rsidR="005E1261">
        <w:rPr>
          <w:rFonts w:cs="Times New Roman"/>
          <w:szCs w:val="24"/>
        </w:rPr>
        <w:t xml:space="preserve">hat party </w:t>
      </w:r>
      <w:r>
        <w:rPr>
          <w:rFonts w:cs="Times New Roman"/>
          <w:szCs w:val="24"/>
        </w:rPr>
        <w:t>is to be held responsible for any resulting damage</w:t>
      </w:r>
      <w:r w:rsidR="0060767F">
        <w:rPr>
          <w:rFonts w:cs="Times New Roman"/>
          <w:szCs w:val="24"/>
        </w:rPr>
        <w:t>.</w:t>
      </w:r>
      <w:r>
        <w:rPr>
          <w:rFonts w:cs="Times New Roman"/>
          <w:szCs w:val="24"/>
        </w:rPr>
        <w:t xml:space="preserve"> </w:t>
      </w:r>
      <w:r w:rsidR="00582EBD">
        <w:rPr>
          <w:rFonts w:cs="Times New Roman"/>
          <w:szCs w:val="24"/>
        </w:rPr>
        <w:t xml:space="preserve">This possibility may call for a more thorough pre-construction evaluation of all the roadways </w:t>
      </w:r>
      <w:r w:rsidR="00464DB8">
        <w:rPr>
          <w:rFonts w:cs="Times New Roman"/>
          <w:szCs w:val="24"/>
        </w:rPr>
        <w:t>maintained</w:t>
      </w:r>
      <w:r w:rsidR="00582EBD">
        <w:rPr>
          <w:rFonts w:cs="Times New Roman"/>
          <w:szCs w:val="24"/>
        </w:rPr>
        <w:t xml:space="preserve"> by the </w:t>
      </w:r>
      <w:r w:rsidR="00DF30A5">
        <w:rPr>
          <w:rFonts w:cs="Times New Roman"/>
          <w:szCs w:val="24"/>
        </w:rPr>
        <w:t>road district</w:t>
      </w:r>
      <w:r w:rsidR="00582EBD">
        <w:rPr>
          <w:rFonts w:cs="Times New Roman"/>
          <w:szCs w:val="24"/>
        </w:rPr>
        <w:t xml:space="preserve"> to establish a baseline for the status of </w:t>
      </w:r>
      <w:r w:rsidR="002A6465">
        <w:rPr>
          <w:rFonts w:cs="Times New Roman"/>
          <w:szCs w:val="24"/>
        </w:rPr>
        <w:t xml:space="preserve">all roads that could be traversed, not just those the parties plan </w:t>
      </w:r>
      <w:r w:rsidR="005538DE">
        <w:rPr>
          <w:rFonts w:cs="Times New Roman"/>
          <w:szCs w:val="24"/>
        </w:rPr>
        <w:t xml:space="preserve">on </w:t>
      </w:r>
      <w:r w:rsidR="002A6465">
        <w:rPr>
          <w:rFonts w:cs="Times New Roman"/>
          <w:szCs w:val="24"/>
        </w:rPr>
        <w:t xml:space="preserve">utilizing. </w:t>
      </w:r>
      <w:r w:rsidR="00582EBD">
        <w:rPr>
          <w:rFonts w:cs="Times New Roman"/>
          <w:szCs w:val="24"/>
        </w:rPr>
        <w:t xml:space="preserve"> </w:t>
      </w:r>
    </w:p>
    <w:p w14:paraId="3CBF4D4C" w14:textId="77777777" w:rsidR="00497E8A" w:rsidRDefault="00497E8A" w:rsidP="00497E8A">
      <w:pPr>
        <w:pStyle w:val="ListParagraph"/>
        <w:ind w:left="2880"/>
        <w:rPr>
          <w:rFonts w:cs="Times New Roman"/>
          <w:szCs w:val="24"/>
        </w:rPr>
      </w:pPr>
    </w:p>
    <w:p w14:paraId="3CC9714E" w14:textId="73F6A5B2" w:rsidR="005538DE" w:rsidRPr="005538DE" w:rsidRDefault="00497E8A" w:rsidP="00DF30A5">
      <w:pPr>
        <w:pStyle w:val="ListParagraph"/>
        <w:numPr>
          <w:ilvl w:val="0"/>
          <w:numId w:val="15"/>
        </w:numPr>
        <w:ind w:left="2160" w:hanging="720"/>
        <w:jc w:val="both"/>
        <w:rPr>
          <w:rFonts w:cs="Times New Roman"/>
          <w:szCs w:val="24"/>
        </w:rPr>
      </w:pPr>
      <w:r>
        <w:rPr>
          <w:rFonts w:cs="Times New Roman"/>
          <w:szCs w:val="24"/>
        </w:rPr>
        <w:t xml:space="preserve">Representatives for the project should </w:t>
      </w:r>
      <w:r w:rsidR="00464DB8">
        <w:rPr>
          <w:rFonts w:cs="Times New Roman"/>
          <w:szCs w:val="24"/>
        </w:rPr>
        <w:t>provide</w:t>
      </w:r>
      <w:r>
        <w:rPr>
          <w:rFonts w:cs="Times New Roman"/>
          <w:szCs w:val="24"/>
        </w:rPr>
        <w:t xml:space="preserve"> the consultant</w:t>
      </w:r>
      <w:r w:rsidR="00464DB8">
        <w:rPr>
          <w:rFonts w:cs="Times New Roman"/>
          <w:szCs w:val="24"/>
        </w:rPr>
        <w:t xml:space="preserve"> with</w:t>
      </w:r>
      <w:r>
        <w:rPr>
          <w:rFonts w:cs="Times New Roman"/>
          <w:szCs w:val="24"/>
        </w:rPr>
        <w:t xml:space="preserve"> drawings depicting the axle numbers, spacing, and loading for those trucks hauling oversized loads so that the consultant might more accurately calculat</w:t>
      </w:r>
      <w:r w:rsidR="00E14BAA">
        <w:rPr>
          <w:rFonts w:cs="Times New Roman"/>
          <w:szCs w:val="24"/>
        </w:rPr>
        <w:t>e</w:t>
      </w:r>
      <w:r>
        <w:rPr>
          <w:rFonts w:cs="Times New Roman"/>
          <w:szCs w:val="24"/>
        </w:rPr>
        <w:t xml:space="preserve"> the </w:t>
      </w:r>
      <w:r w:rsidR="00464DB8">
        <w:rPr>
          <w:rFonts w:cs="Times New Roman"/>
          <w:szCs w:val="24"/>
        </w:rPr>
        <w:t>trucks’ likely impact on the roads</w:t>
      </w:r>
      <w:r>
        <w:rPr>
          <w:rFonts w:cs="Times New Roman"/>
          <w:szCs w:val="24"/>
        </w:rPr>
        <w:t xml:space="preserve">.  </w:t>
      </w:r>
    </w:p>
    <w:p w14:paraId="7A64862C" w14:textId="77777777" w:rsidR="00963D48" w:rsidRDefault="00963D48" w:rsidP="00963D48">
      <w:pPr>
        <w:pStyle w:val="ListParagraph"/>
        <w:rPr>
          <w:rFonts w:cs="Times New Roman"/>
          <w:szCs w:val="24"/>
        </w:rPr>
      </w:pPr>
    </w:p>
    <w:p w14:paraId="62A8FAE2" w14:textId="340DAD86" w:rsidR="00233941" w:rsidRPr="00283C09" w:rsidRDefault="00233941" w:rsidP="00DF30A5">
      <w:pPr>
        <w:pStyle w:val="ListParagraph"/>
        <w:numPr>
          <w:ilvl w:val="0"/>
          <w:numId w:val="3"/>
        </w:numPr>
        <w:ind w:left="1440" w:hanging="720"/>
        <w:jc w:val="both"/>
        <w:rPr>
          <w:rFonts w:cs="Times New Roman"/>
          <w:szCs w:val="24"/>
        </w:rPr>
      </w:pPr>
      <w:r w:rsidRPr="00283C09">
        <w:rPr>
          <w:rFonts w:cs="Times New Roman"/>
          <w:szCs w:val="24"/>
        </w:rPr>
        <w:t xml:space="preserve">The RUA should detail the procedure for how </w:t>
      </w:r>
      <w:r w:rsidR="00963D48" w:rsidRPr="00283C09">
        <w:rPr>
          <w:rFonts w:cs="Times New Roman"/>
          <w:szCs w:val="24"/>
        </w:rPr>
        <w:t xml:space="preserve">payments are to be remitted from the </w:t>
      </w:r>
      <w:r w:rsidR="002A6465" w:rsidRPr="00283C09">
        <w:rPr>
          <w:rFonts w:cs="Times New Roman"/>
          <w:szCs w:val="24"/>
        </w:rPr>
        <w:t xml:space="preserve">parties responsible for the construction project and the transportation of </w:t>
      </w:r>
      <w:r w:rsidR="002A6465" w:rsidRPr="00283C09">
        <w:rPr>
          <w:rFonts w:cs="Times New Roman"/>
          <w:szCs w:val="24"/>
        </w:rPr>
        <w:lastRenderedPageBreak/>
        <w:t>equipment/materials</w:t>
      </w:r>
      <w:r w:rsidR="00963D48" w:rsidRPr="00283C09">
        <w:rPr>
          <w:rFonts w:cs="Times New Roman"/>
          <w:szCs w:val="24"/>
        </w:rPr>
        <w:t xml:space="preserve"> to the </w:t>
      </w:r>
      <w:r w:rsidR="00DF30A5">
        <w:rPr>
          <w:rFonts w:cs="Times New Roman"/>
          <w:szCs w:val="24"/>
        </w:rPr>
        <w:t>road district</w:t>
      </w:r>
      <w:r w:rsidR="002A6465" w:rsidRPr="00283C09">
        <w:rPr>
          <w:rFonts w:cs="Times New Roman"/>
          <w:szCs w:val="24"/>
        </w:rPr>
        <w:t xml:space="preserve"> as well.</w:t>
      </w:r>
      <w:r w:rsidR="009851A9" w:rsidRPr="00283C09">
        <w:rPr>
          <w:rFonts w:cs="Times New Roman"/>
          <w:szCs w:val="24"/>
        </w:rPr>
        <w:t xml:space="preserve"> </w:t>
      </w:r>
      <w:r w:rsidR="00497E8A" w:rsidRPr="00283C09">
        <w:rPr>
          <w:rFonts w:cs="Times New Roman"/>
          <w:szCs w:val="24"/>
        </w:rPr>
        <w:t>The agreement might also explain</w:t>
      </w:r>
      <w:r w:rsidR="009851A9" w:rsidRPr="00283C09">
        <w:rPr>
          <w:rFonts w:cs="Times New Roman"/>
          <w:szCs w:val="24"/>
        </w:rPr>
        <w:t xml:space="preserve"> the basis for charging th</w:t>
      </w:r>
      <w:r w:rsidR="00497E8A" w:rsidRPr="00283C09">
        <w:rPr>
          <w:rFonts w:cs="Times New Roman"/>
          <w:szCs w:val="24"/>
        </w:rPr>
        <w:t xml:space="preserve">ose affiliated with the project </w:t>
      </w:r>
      <w:r w:rsidR="009851A9" w:rsidRPr="00283C09">
        <w:rPr>
          <w:rFonts w:cs="Times New Roman"/>
          <w:szCs w:val="24"/>
        </w:rPr>
        <w:t>for</w:t>
      </w:r>
      <w:r w:rsidR="00497E8A" w:rsidRPr="00283C09">
        <w:rPr>
          <w:rFonts w:cs="Times New Roman"/>
          <w:szCs w:val="24"/>
        </w:rPr>
        <w:t xml:space="preserve"> any</w:t>
      </w:r>
      <w:r w:rsidR="009851A9" w:rsidRPr="00283C09">
        <w:rPr>
          <w:rFonts w:cs="Times New Roman"/>
          <w:szCs w:val="24"/>
        </w:rPr>
        <w:t xml:space="preserve"> labor, materials, etc</w:t>
      </w:r>
      <w:r w:rsidR="00D16364" w:rsidRPr="00283C09">
        <w:rPr>
          <w:rFonts w:cs="Times New Roman"/>
          <w:szCs w:val="24"/>
        </w:rPr>
        <w:t xml:space="preserve"> supplied by the </w:t>
      </w:r>
      <w:r w:rsidR="00DF30A5">
        <w:rPr>
          <w:rFonts w:cs="Times New Roman"/>
          <w:szCs w:val="24"/>
        </w:rPr>
        <w:t>road district</w:t>
      </w:r>
      <w:r w:rsidR="00D16364" w:rsidRPr="00283C09">
        <w:rPr>
          <w:rFonts w:cs="Times New Roman"/>
          <w:szCs w:val="24"/>
        </w:rPr>
        <w:t xml:space="preserve">. </w:t>
      </w:r>
      <w:r w:rsidR="009851A9" w:rsidRPr="00283C09">
        <w:rPr>
          <w:rFonts w:cs="Times New Roman"/>
          <w:szCs w:val="24"/>
        </w:rPr>
        <w:t xml:space="preserve"> </w:t>
      </w:r>
    </w:p>
    <w:p w14:paraId="0DA16581" w14:textId="77777777" w:rsidR="00D16364" w:rsidRDefault="00D16364" w:rsidP="00D16364">
      <w:pPr>
        <w:pStyle w:val="ListParagraph"/>
        <w:rPr>
          <w:rFonts w:cs="Times New Roman"/>
          <w:szCs w:val="24"/>
        </w:rPr>
      </w:pPr>
    </w:p>
    <w:p w14:paraId="1E01384D" w14:textId="6BB3BC00" w:rsidR="00D16364" w:rsidRDefault="00D16364" w:rsidP="00DF30A5">
      <w:pPr>
        <w:pStyle w:val="ListParagraph"/>
        <w:numPr>
          <w:ilvl w:val="1"/>
          <w:numId w:val="3"/>
        </w:numPr>
        <w:ind w:left="2160" w:hanging="720"/>
        <w:jc w:val="both"/>
        <w:rPr>
          <w:rFonts w:cs="Times New Roman"/>
          <w:szCs w:val="24"/>
        </w:rPr>
      </w:pPr>
      <w:r>
        <w:rPr>
          <w:rFonts w:cs="Times New Roman"/>
          <w:szCs w:val="24"/>
        </w:rPr>
        <w:t xml:space="preserve">The </w:t>
      </w:r>
      <w:r w:rsidR="00DF30A5">
        <w:rPr>
          <w:rFonts w:cs="Times New Roman"/>
          <w:szCs w:val="24"/>
        </w:rPr>
        <w:t>road district</w:t>
      </w:r>
      <w:r>
        <w:rPr>
          <w:rFonts w:cs="Times New Roman"/>
          <w:szCs w:val="24"/>
        </w:rPr>
        <w:t xml:space="preserve"> should document and the other parties to the contract should make payments to the </w:t>
      </w:r>
      <w:r w:rsidR="00DF30A5">
        <w:rPr>
          <w:rFonts w:cs="Times New Roman"/>
          <w:szCs w:val="24"/>
        </w:rPr>
        <w:t>road district</w:t>
      </w:r>
      <w:r>
        <w:rPr>
          <w:rFonts w:cs="Times New Roman"/>
          <w:szCs w:val="24"/>
        </w:rPr>
        <w:t xml:space="preserve"> consistent with any bookkeeping or accounting </w:t>
      </w:r>
      <w:r w:rsidR="00E14BAA">
        <w:rPr>
          <w:rFonts w:cs="Times New Roman"/>
          <w:szCs w:val="24"/>
        </w:rPr>
        <w:t>procedures</w:t>
      </w:r>
      <w:r>
        <w:rPr>
          <w:rFonts w:cs="Times New Roman"/>
          <w:szCs w:val="24"/>
        </w:rPr>
        <w:t xml:space="preserve"> generally used for </w:t>
      </w:r>
      <w:r w:rsidR="00DF30A5">
        <w:rPr>
          <w:rFonts w:cs="Times New Roman"/>
          <w:szCs w:val="24"/>
        </w:rPr>
        <w:t>road district</w:t>
      </w:r>
      <w:r>
        <w:rPr>
          <w:rFonts w:cs="Times New Roman"/>
          <w:szCs w:val="24"/>
        </w:rPr>
        <w:t xml:space="preserve"> receipts. </w:t>
      </w:r>
      <w:r w:rsidR="00F30E51">
        <w:rPr>
          <w:rFonts w:cs="Times New Roman"/>
          <w:szCs w:val="24"/>
        </w:rPr>
        <w:t xml:space="preserve">For instance, the agreement might require the construction participant send payment to the </w:t>
      </w:r>
      <w:r w:rsidR="00DF30A5">
        <w:rPr>
          <w:rFonts w:cs="Times New Roman"/>
          <w:szCs w:val="24"/>
        </w:rPr>
        <w:t>road district</w:t>
      </w:r>
      <w:r w:rsidR="00F30E51">
        <w:rPr>
          <w:rFonts w:cs="Times New Roman"/>
          <w:szCs w:val="24"/>
        </w:rPr>
        <w:t xml:space="preserve"> within so many days of receiving a proper invoice. </w:t>
      </w:r>
    </w:p>
    <w:p w14:paraId="5C37AF31" w14:textId="77777777" w:rsidR="00DD193E" w:rsidRDefault="00DD193E" w:rsidP="00DF30A5">
      <w:pPr>
        <w:pStyle w:val="ListParagraph"/>
        <w:ind w:left="2160" w:hanging="720"/>
        <w:jc w:val="both"/>
        <w:rPr>
          <w:rFonts w:cs="Times New Roman"/>
          <w:szCs w:val="24"/>
        </w:rPr>
      </w:pPr>
    </w:p>
    <w:p w14:paraId="4F1FE1C7" w14:textId="4D546333" w:rsidR="00963D48" w:rsidRDefault="00D16364" w:rsidP="00DF30A5">
      <w:pPr>
        <w:pStyle w:val="ListParagraph"/>
        <w:numPr>
          <w:ilvl w:val="1"/>
          <w:numId w:val="3"/>
        </w:numPr>
        <w:ind w:left="2160" w:hanging="720"/>
        <w:jc w:val="both"/>
        <w:rPr>
          <w:rFonts w:cs="Times New Roman"/>
          <w:szCs w:val="24"/>
        </w:rPr>
      </w:pPr>
      <w:r>
        <w:rPr>
          <w:rFonts w:cs="Times New Roman"/>
          <w:szCs w:val="24"/>
        </w:rPr>
        <w:t xml:space="preserve">To the extent the project </w:t>
      </w:r>
      <w:r w:rsidR="00DD193E">
        <w:rPr>
          <w:rFonts w:cs="Times New Roman"/>
          <w:szCs w:val="24"/>
        </w:rPr>
        <w:t xml:space="preserve">might use </w:t>
      </w:r>
      <w:r w:rsidR="00DF30A5">
        <w:rPr>
          <w:rFonts w:cs="Times New Roman"/>
          <w:szCs w:val="24"/>
        </w:rPr>
        <w:t>road district</w:t>
      </w:r>
      <w:r w:rsidR="00DD193E">
        <w:rPr>
          <w:rFonts w:cs="Times New Roman"/>
          <w:szCs w:val="24"/>
        </w:rPr>
        <w:t xml:space="preserve"> employees to direct/signal traffic or to make any repairs for which the project’s operators are responsible, they should pay for the value of the </w:t>
      </w:r>
      <w:r w:rsidR="00DF30A5">
        <w:rPr>
          <w:rFonts w:cs="Times New Roman"/>
          <w:szCs w:val="24"/>
        </w:rPr>
        <w:t>road district</w:t>
      </w:r>
      <w:r w:rsidR="00DD193E">
        <w:rPr>
          <w:rFonts w:cs="Times New Roman"/>
          <w:szCs w:val="24"/>
        </w:rPr>
        <w:t xml:space="preserve">’s employees’ wages and for the prevailing market price for any </w:t>
      </w:r>
      <w:r w:rsidR="00DF30A5">
        <w:rPr>
          <w:rFonts w:cs="Times New Roman"/>
          <w:szCs w:val="24"/>
        </w:rPr>
        <w:t>road district</w:t>
      </w:r>
      <w:r w:rsidR="00DD193E">
        <w:rPr>
          <w:rFonts w:cs="Times New Roman"/>
          <w:szCs w:val="24"/>
        </w:rPr>
        <w:t xml:space="preserve"> property used. </w:t>
      </w:r>
    </w:p>
    <w:p w14:paraId="44CBFB42" w14:textId="77777777" w:rsidR="00DF30A5" w:rsidRPr="00DF30A5" w:rsidRDefault="00DF30A5" w:rsidP="00DF30A5">
      <w:pPr>
        <w:pStyle w:val="ListParagraph"/>
        <w:rPr>
          <w:rFonts w:cs="Times New Roman"/>
          <w:szCs w:val="24"/>
        </w:rPr>
      </w:pPr>
    </w:p>
    <w:p w14:paraId="1A1B6B18" w14:textId="1E33CA53" w:rsidR="00E9197D" w:rsidRDefault="00F93616" w:rsidP="00DF30A5">
      <w:pPr>
        <w:pStyle w:val="ListParagraph"/>
        <w:numPr>
          <w:ilvl w:val="0"/>
          <w:numId w:val="3"/>
        </w:numPr>
        <w:ind w:left="1440" w:hanging="720"/>
        <w:jc w:val="both"/>
        <w:rPr>
          <w:rFonts w:cs="Times New Roman"/>
          <w:szCs w:val="24"/>
        </w:rPr>
      </w:pPr>
      <w:r w:rsidRPr="005538DE">
        <w:rPr>
          <w:rFonts w:cs="Times New Roman"/>
          <w:szCs w:val="24"/>
        </w:rPr>
        <w:t xml:space="preserve">The </w:t>
      </w:r>
      <w:r w:rsidR="002A6465" w:rsidRPr="005538DE">
        <w:rPr>
          <w:rFonts w:cs="Times New Roman"/>
          <w:szCs w:val="24"/>
        </w:rPr>
        <w:t>party responsible for the project</w:t>
      </w:r>
      <w:r w:rsidRPr="005538DE">
        <w:rPr>
          <w:rFonts w:cs="Times New Roman"/>
          <w:szCs w:val="24"/>
        </w:rPr>
        <w:t xml:space="preserve"> might agree to hold a public meeting on the project prior to the commencement of construction</w:t>
      </w:r>
      <w:r w:rsidR="0060767F" w:rsidRPr="005538DE">
        <w:rPr>
          <w:rFonts w:cs="Times New Roman"/>
          <w:szCs w:val="24"/>
        </w:rPr>
        <w:t xml:space="preserve"> to inform interested parties</w:t>
      </w:r>
      <w:r w:rsidR="00497E8A">
        <w:rPr>
          <w:rFonts w:cs="Times New Roman"/>
          <w:szCs w:val="24"/>
        </w:rPr>
        <w:t xml:space="preserve"> (including schools, fire protection districts, and affected landowners)</w:t>
      </w:r>
      <w:r w:rsidR="0060767F" w:rsidRPr="005538DE">
        <w:rPr>
          <w:rFonts w:cs="Times New Roman"/>
          <w:szCs w:val="24"/>
        </w:rPr>
        <w:t xml:space="preserve"> of </w:t>
      </w:r>
      <w:r w:rsidR="006A56F3" w:rsidRPr="005538DE">
        <w:rPr>
          <w:rFonts w:cs="Times New Roman"/>
          <w:szCs w:val="24"/>
        </w:rPr>
        <w:t xml:space="preserve">significant aspects of the project and acquire relevant contact information. </w:t>
      </w:r>
    </w:p>
    <w:p w14:paraId="43E59CC8" w14:textId="77777777" w:rsidR="00E9197D" w:rsidRDefault="00E9197D" w:rsidP="00E9197D">
      <w:pPr>
        <w:pStyle w:val="ListParagraph"/>
        <w:rPr>
          <w:rFonts w:cs="Times New Roman"/>
          <w:szCs w:val="24"/>
        </w:rPr>
      </w:pPr>
    </w:p>
    <w:p w14:paraId="6D417C34" w14:textId="5A2C3BE5" w:rsidR="002A6465" w:rsidRDefault="002A6465" w:rsidP="00DF30A5">
      <w:pPr>
        <w:pStyle w:val="ListParagraph"/>
        <w:numPr>
          <w:ilvl w:val="0"/>
          <w:numId w:val="22"/>
        </w:numPr>
        <w:ind w:left="2160" w:hanging="720"/>
        <w:jc w:val="both"/>
        <w:rPr>
          <w:rFonts w:cs="Times New Roman"/>
          <w:szCs w:val="24"/>
        </w:rPr>
      </w:pPr>
      <w:r w:rsidRPr="00430D78">
        <w:rPr>
          <w:rFonts w:cs="Times New Roman"/>
          <w:szCs w:val="24"/>
        </w:rPr>
        <w:t>Facilitating such transparency before construction begins might minimize the potential for surprise</w:t>
      </w:r>
      <w:r w:rsidR="00E9197D" w:rsidRPr="00430D78">
        <w:rPr>
          <w:rFonts w:cs="Times New Roman"/>
          <w:szCs w:val="24"/>
        </w:rPr>
        <w:t>,</w:t>
      </w:r>
      <w:r w:rsidRPr="00430D78">
        <w:rPr>
          <w:rFonts w:cs="Times New Roman"/>
          <w:szCs w:val="24"/>
        </w:rPr>
        <w:t xml:space="preserve"> permit </w:t>
      </w:r>
      <w:r w:rsidR="005538DE" w:rsidRPr="00430D78">
        <w:rPr>
          <w:rFonts w:cs="Times New Roman"/>
          <w:szCs w:val="24"/>
        </w:rPr>
        <w:t>mutual understanding of project objectives and expectations</w:t>
      </w:r>
      <w:r w:rsidR="00E9197D" w:rsidRPr="00430D78">
        <w:rPr>
          <w:rFonts w:cs="Times New Roman"/>
          <w:szCs w:val="24"/>
        </w:rPr>
        <w:t>, and clear up any logistical or safety issues prior to project commencement</w:t>
      </w:r>
      <w:r w:rsidR="005538DE" w:rsidRPr="00430D78">
        <w:rPr>
          <w:rFonts w:cs="Times New Roman"/>
          <w:szCs w:val="24"/>
        </w:rPr>
        <w:t xml:space="preserve">. </w:t>
      </w:r>
    </w:p>
    <w:p w14:paraId="6E029A7A" w14:textId="77777777" w:rsidR="002E772D" w:rsidRDefault="002E772D" w:rsidP="00DF30A5">
      <w:pPr>
        <w:pStyle w:val="ListParagraph"/>
        <w:ind w:left="2160" w:hanging="720"/>
        <w:jc w:val="both"/>
        <w:rPr>
          <w:rFonts w:cs="Times New Roman"/>
          <w:szCs w:val="24"/>
        </w:rPr>
      </w:pPr>
    </w:p>
    <w:p w14:paraId="4974BAEC" w14:textId="6CB96766" w:rsidR="00E9197D" w:rsidRPr="002E772D" w:rsidRDefault="002E772D" w:rsidP="00DF30A5">
      <w:pPr>
        <w:pStyle w:val="ListParagraph"/>
        <w:numPr>
          <w:ilvl w:val="0"/>
          <w:numId w:val="22"/>
        </w:numPr>
        <w:ind w:left="2160" w:hanging="720"/>
        <w:jc w:val="both"/>
        <w:rPr>
          <w:rFonts w:cs="Times New Roman"/>
          <w:szCs w:val="24"/>
        </w:rPr>
      </w:pPr>
      <w:r>
        <w:rPr>
          <w:rFonts w:cs="Times New Roman"/>
          <w:szCs w:val="24"/>
        </w:rPr>
        <w:t>Such interested parties should be notified in advance of any anticipated road closures occasioned by the project or any other activities likely to cause hassle or delay.</w:t>
      </w:r>
    </w:p>
    <w:p w14:paraId="554FAE40" w14:textId="77777777" w:rsidR="00430D78" w:rsidRPr="00E9197D" w:rsidRDefault="00430D78" w:rsidP="00E9197D">
      <w:pPr>
        <w:pStyle w:val="ListParagraph"/>
        <w:ind w:left="2160"/>
        <w:rPr>
          <w:rFonts w:cs="Times New Roman"/>
          <w:szCs w:val="24"/>
        </w:rPr>
      </w:pPr>
    </w:p>
    <w:p w14:paraId="26CFEB91" w14:textId="06A75122" w:rsidR="00F93616" w:rsidRPr="00E9197D" w:rsidRDefault="005F3B2C" w:rsidP="00DF30A5">
      <w:pPr>
        <w:pStyle w:val="ListParagraph"/>
        <w:numPr>
          <w:ilvl w:val="0"/>
          <w:numId w:val="3"/>
        </w:numPr>
        <w:ind w:left="1440" w:hanging="720"/>
        <w:jc w:val="both"/>
        <w:rPr>
          <w:rFonts w:cs="Times New Roman"/>
          <w:szCs w:val="24"/>
        </w:rPr>
      </w:pPr>
      <w:r w:rsidRPr="00E9197D">
        <w:rPr>
          <w:rFonts w:cs="Times New Roman"/>
          <w:szCs w:val="24"/>
        </w:rPr>
        <w:t>Prior to beginning construction, a</w:t>
      </w:r>
      <w:r w:rsidR="00F93616" w:rsidRPr="00E9197D">
        <w:rPr>
          <w:rFonts w:cs="Times New Roman"/>
          <w:szCs w:val="24"/>
        </w:rPr>
        <w:t xml:space="preserve"> corporate guaranty or a surety bond should be executed by the </w:t>
      </w:r>
      <w:r w:rsidR="00E9197D">
        <w:rPr>
          <w:rFonts w:cs="Times New Roman"/>
          <w:szCs w:val="24"/>
        </w:rPr>
        <w:t>project lead</w:t>
      </w:r>
      <w:r w:rsidR="00F93616" w:rsidRPr="00E9197D">
        <w:rPr>
          <w:rFonts w:cs="Times New Roman"/>
          <w:szCs w:val="24"/>
        </w:rPr>
        <w:t xml:space="preserve"> in favor of the </w:t>
      </w:r>
      <w:r w:rsidR="00DF30A5">
        <w:rPr>
          <w:rFonts w:cs="Times New Roman"/>
          <w:szCs w:val="24"/>
        </w:rPr>
        <w:t>road district</w:t>
      </w:r>
      <w:r w:rsidR="00F93616" w:rsidRPr="00E9197D">
        <w:rPr>
          <w:rFonts w:cs="Times New Roman"/>
          <w:szCs w:val="24"/>
        </w:rPr>
        <w:t xml:space="preserve"> to cover </w:t>
      </w:r>
      <w:r w:rsidRPr="00E9197D">
        <w:rPr>
          <w:rFonts w:cs="Times New Roman"/>
          <w:szCs w:val="24"/>
        </w:rPr>
        <w:t xml:space="preserve">any failure to pay the costs of upgrading, repairing, and/or restoring </w:t>
      </w:r>
      <w:r w:rsidR="00DF30A5">
        <w:rPr>
          <w:rFonts w:cs="Times New Roman"/>
          <w:szCs w:val="24"/>
        </w:rPr>
        <w:t>road district</w:t>
      </w:r>
      <w:r w:rsidRPr="00E9197D">
        <w:rPr>
          <w:rFonts w:cs="Times New Roman"/>
          <w:szCs w:val="24"/>
        </w:rPr>
        <w:t xml:space="preserve"> roads and property. Such bond and/or guaranty should remain in place for some period of time following the project’s completion</w:t>
      </w:r>
      <w:r w:rsidR="00E14BAA">
        <w:rPr>
          <w:rFonts w:cs="Times New Roman"/>
          <w:szCs w:val="24"/>
        </w:rPr>
        <w:t>, at least until such time as all payments and/or restorative work has been completed</w:t>
      </w:r>
      <w:r w:rsidRPr="00E9197D">
        <w:rPr>
          <w:rFonts w:cs="Times New Roman"/>
          <w:szCs w:val="24"/>
        </w:rPr>
        <w:t xml:space="preserve">. </w:t>
      </w:r>
    </w:p>
    <w:p w14:paraId="0CD926CC" w14:textId="77777777" w:rsidR="005538DE" w:rsidRPr="005538DE" w:rsidRDefault="005538DE" w:rsidP="005538DE">
      <w:pPr>
        <w:pStyle w:val="ListParagraph"/>
        <w:rPr>
          <w:rFonts w:cs="Times New Roman"/>
          <w:szCs w:val="24"/>
        </w:rPr>
      </w:pPr>
    </w:p>
    <w:p w14:paraId="17294757" w14:textId="6FF38643" w:rsidR="00CA12FD" w:rsidRDefault="005538DE" w:rsidP="00DF30A5">
      <w:pPr>
        <w:pStyle w:val="ListParagraph"/>
        <w:numPr>
          <w:ilvl w:val="1"/>
          <w:numId w:val="3"/>
        </w:numPr>
        <w:ind w:left="2160" w:hanging="720"/>
        <w:jc w:val="both"/>
        <w:rPr>
          <w:rFonts w:cs="Times New Roman"/>
          <w:szCs w:val="24"/>
        </w:rPr>
      </w:pPr>
      <w:r>
        <w:rPr>
          <w:rFonts w:cs="Times New Roman"/>
          <w:szCs w:val="24"/>
        </w:rPr>
        <w:t xml:space="preserve">The </w:t>
      </w:r>
      <w:r w:rsidR="00DF30A5">
        <w:rPr>
          <w:rFonts w:cs="Times New Roman"/>
          <w:szCs w:val="24"/>
        </w:rPr>
        <w:t>road district</w:t>
      </w:r>
      <w:r>
        <w:rPr>
          <w:rFonts w:cs="Times New Roman"/>
          <w:szCs w:val="24"/>
        </w:rPr>
        <w:t xml:space="preserve"> could draw against </w:t>
      </w:r>
      <w:r w:rsidR="00E14BAA">
        <w:rPr>
          <w:rFonts w:cs="Times New Roman"/>
          <w:szCs w:val="24"/>
        </w:rPr>
        <w:t>such</w:t>
      </w:r>
      <w:r>
        <w:rPr>
          <w:rFonts w:cs="Times New Roman"/>
          <w:szCs w:val="24"/>
        </w:rPr>
        <w:t xml:space="preserve"> surety bond in the event the party responsible for the construction project failed to </w:t>
      </w:r>
      <w:r w:rsidR="00E14BAA">
        <w:rPr>
          <w:rFonts w:cs="Times New Roman"/>
          <w:szCs w:val="24"/>
        </w:rPr>
        <w:t xml:space="preserve">make or pay </w:t>
      </w:r>
      <w:r w:rsidR="00E9197D">
        <w:rPr>
          <w:rFonts w:cs="Times New Roman"/>
          <w:szCs w:val="24"/>
        </w:rPr>
        <w:t>for upgrade</w:t>
      </w:r>
      <w:r w:rsidR="00E14BAA">
        <w:rPr>
          <w:rFonts w:cs="Times New Roman"/>
          <w:szCs w:val="24"/>
        </w:rPr>
        <w:t>s</w:t>
      </w:r>
      <w:r w:rsidR="00E9197D">
        <w:rPr>
          <w:rFonts w:cs="Times New Roman"/>
          <w:szCs w:val="24"/>
        </w:rPr>
        <w:t xml:space="preserve">, </w:t>
      </w:r>
      <w:r w:rsidR="00DB5CF5">
        <w:rPr>
          <w:rFonts w:cs="Times New Roman"/>
          <w:szCs w:val="24"/>
        </w:rPr>
        <w:t>repair</w:t>
      </w:r>
      <w:r w:rsidR="00E14BAA">
        <w:rPr>
          <w:rFonts w:cs="Times New Roman"/>
          <w:szCs w:val="24"/>
        </w:rPr>
        <w:t>s</w:t>
      </w:r>
      <w:r w:rsidR="00DB5CF5">
        <w:rPr>
          <w:rFonts w:cs="Times New Roman"/>
          <w:szCs w:val="24"/>
        </w:rPr>
        <w:t xml:space="preserve">, or restoration of </w:t>
      </w:r>
      <w:r w:rsidR="00DF30A5">
        <w:rPr>
          <w:rFonts w:cs="Times New Roman"/>
          <w:szCs w:val="24"/>
        </w:rPr>
        <w:t>road district</w:t>
      </w:r>
      <w:r w:rsidR="00DB5CF5">
        <w:rPr>
          <w:rFonts w:cs="Times New Roman"/>
          <w:szCs w:val="24"/>
        </w:rPr>
        <w:t xml:space="preserve"> roads damaged in the construction process and falling within the scope of the parties’ agreement. </w:t>
      </w:r>
    </w:p>
    <w:p w14:paraId="469ADFA5" w14:textId="77777777" w:rsidR="00CA12FD" w:rsidRDefault="00CA12FD" w:rsidP="00DF30A5">
      <w:pPr>
        <w:pStyle w:val="ListParagraph"/>
        <w:ind w:left="2160" w:hanging="720"/>
        <w:jc w:val="both"/>
        <w:rPr>
          <w:rFonts w:cs="Times New Roman"/>
          <w:szCs w:val="24"/>
        </w:rPr>
      </w:pPr>
    </w:p>
    <w:p w14:paraId="20F5E002" w14:textId="084C7C2D" w:rsidR="00CA12FD" w:rsidRPr="00CA12FD" w:rsidRDefault="00CA12FD" w:rsidP="00DF30A5">
      <w:pPr>
        <w:pStyle w:val="ListParagraph"/>
        <w:numPr>
          <w:ilvl w:val="1"/>
          <w:numId w:val="3"/>
        </w:numPr>
        <w:ind w:left="2160" w:hanging="720"/>
        <w:jc w:val="both"/>
        <w:rPr>
          <w:rFonts w:cs="Times New Roman"/>
          <w:szCs w:val="24"/>
        </w:rPr>
      </w:pPr>
      <w:r>
        <w:rPr>
          <w:rFonts w:cs="Times New Roman"/>
          <w:szCs w:val="24"/>
        </w:rPr>
        <w:t xml:space="preserve">Such a bond gives the </w:t>
      </w:r>
      <w:r w:rsidR="00DF30A5">
        <w:rPr>
          <w:rFonts w:cs="Times New Roman"/>
          <w:szCs w:val="24"/>
        </w:rPr>
        <w:t>road district</w:t>
      </w:r>
      <w:r>
        <w:rPr>
          <w:rFonts w:cs="Times New Roman"/>
          <w:szCs w:val="24"/>
        </w:rPr>
        <w:t xml:space="preserve"> further assurance that the funds will be available to restore roadways to their pre-commencement state even if those responsible for the construction project later run into financial difficulties. </w:t>
      </w:r>
    </w:p>
    <w:p w14:paraId="34EA70CB" w14:textId="77777777" w:rsidR="00CA12FD" w:rsidRDefault="00CA12FD" w:rsidP="00DF30A5">
      <w:pPr>
        <w:pStyle w:val="ListParagraph"/>
        <w:ind w:left="2160" w:hanging="720"/>
        <w:jc w:val="both"/>
        <w:rPr>
          <w:rFonts w:cs="Times New Roman"/>
          <w:szCs w:val="24"/>
        </w:rPr>
      </w:pPr>
    </w:p>
    <w:p w14:paraId="32D310D9" w14:textId="5636BB52" w:rsidR="00CA12FD" w:rsidRPr="00CA12FD" w:rsidRDefault="00DB5CF5" w:rsidP="00DF30A5">
      <w:pPr>
        <w:pStyle w:val="ListParagraph"/>
        <w:numPr>
          <w:ilvl w:val="1"/>
          <w:numId w:val="3"/>
        </w:numPr>
        <w:ind w:left="2160" w:hanging="720"/>
        <w:jc w:val="both"/>
        <w:rPr>
          <w:rFonts w:cs="Times New Roman"/>
          <w:szCs w:val="24"/>
        </w:rPr>
      </w:pPr>
      <w:r>
        <w:rPr>
          <w:rFonts w:cs="Times New Roman"/>
          <w:szCs w:val="24"/>
        </w:rPr>
        <w:t xml:space="preserve">Before the </w:t>
      </w:r>
      <w:r w:rsidR="00DF30A5">
        <w:rPr>
          <w:rFonts w:cs="Times New Roman"/>
          <w:szCs w:val="24"/>
        </w:rPr>
        <w:t>road district</w:t>
      </w:r>
      <w:r>
        <w:rPr>
          <w:rFonts w:cs="Times New Roman"/>
          <w:szCs w:val="24"/>
        </w:rPr>
        <w:t xml:space="preserve"> may draw on such bond, formal, written notice must be made of the responsible project participant specifying the failure to repair or other default </w:t>
      </w:r>
      <w:r w:rsidR="00CA12FD">
        <w:rPr>
          <w:rFonts w:cs="Times New Roman"/>
          <w:szCs w:val="24"/>
        </w:rPr>
        <w:t>under the parties’ agreement</w:t>
      </w:r>
      <w:r w:rsidR="00F85987">
        <w:rPr>
          <w:rFonts w:cs="Times New Roman"/>
          <w:szCs w:val="24"/>
        </w:rPr>
        <w:t>. Such</w:t>
      </w:r>
      <w:r w:rsidR="00CA12FD">
        <w:rPr>
          <w:rFonts w:cs="Times New Roman"/>
          <w:szCs w:val="24"/>
        </w:rPr>
        <w:t xml:space="preserve"> project participant</w:t>
      </w:r>
      <w:r w:rsidR="00F85987">
        <w:rPr>
          <w:rFonts w:cs="Times New Roman"/>
          <w:szCs w:val="24"/>
        </w:rPr>
        <w:t xml:space="preserve"> should then be permitted</w:t>
      </w:r>
      <w:r w:rsidR="00CA12FD">
        <w:rPr>
          <w:rFonts w:cs="Times New Roman"/>
          <w:szCs w:val="24"/>
        </w:rPr>
        <w:t xml:space="preserve"> an opportunity to cure any claimed breach.</w:t>
      </w:r>
    </w:p>
    <w:p w14:paraId="425E32E3" w14:textId="77777777" w:rsidR="00CA12FD" w:rsidRDefault="00CA12FD" w:rsidP="00DF30A5">
      <w:pPr>
        <w:pStyle w:val="ListParagraph"/>
        <w:ind w:left="2160" w:hanging="720"/>
        <w:jc w:val="both"/>
        <w:rPr>
          <w:rFonts w:cs="Times New Roman"/>
          <w:szCs w:val="24"/>
        </w:rPr>
      </w:pPr>
    </w:p>
    <w:p w14:paraId="72CD5CF3" w14:textId="29DAA80C" w:rsidR="0015583E" w:rsidRPr="00430D78" w:rsidRDefault="00DB5CF5" w:rsidP="00DF30A5">
      <w:pPr>
        <w:pStyle w:val="ListParagraph"/>
        <w:numPr>
          <w:ilvl w:val="1"/>
          <w:numId w:val="3"/>
        </w:numPr>
        <w:ind w:left="2160" w:hanging="720"/>
        <w:jc w:val="both"/>
        <w:rPr>
          <w:rFonts w:cs="Times New Roman"/>
          <w:szCs w:val="24"/>
        </w:rPr>
      </w:pPr>
      <w:r>
        <w:rPr>
          <w:rFonts w:cs="Times New Roman"/>
          <w:szCs w:val="24"/>
        </w:rPr>
        <w:t xml:space="preserve">Upon the project participants’ payment of any funds owed to the </w:t>
      </w:r>
      <w:r w:rsidR="00DF30A5">
        <w:rPr>
          <w:rFonts w:cs="Times New Roman"/>
          <w:szCs w:val="24"/>
        </w:rPr>
        <w:t>road district</w:t>
      </w:r>
      <w:r>
        <w:rPr>
          <w:rFonts w:cs="Times New Roman"/>
          <w:szCs w:val="24"/>
        </w:rPr>
        <w:t xml:space="preserve"> or completion of all repair and restoration work revealed to be necessary by the post-project inspection, the </w:t>
      </w:r>
      <w:r w:rsidR="00DF30A5">
        <w:rPr>
          <w:rFonts w:cs="Times New Roman"/>
          <w:szCs w:val="24"/>
        </w:rPr>
        <w:t>road district</w:t>
      </w:r>
      <w:r>
        <w:rPr>
          <w:rFonts w:cs="Times New Roman"/>
          <w:szCs w:val="24"/>
        </w:rPr>
        <w:t xml:space="preserve"> should execute a release </w:t>
      </w:r>
      <w:r w:rsidR="00CA12FD">
        <w:rPr>
          <w:rFonts w:cs="Times New Roman"/>
          <w:szCs w:val="24"/>
        </w:rPr>
        <w:t xml:space="preserve">or deliver any certification required for the surrender of the surety bond. </w:t>
      </w:r>
    </w:p>
    <w:p w14:paraId="1C855DB8" w14:textId="77777777" w:rsidR="00DD31FE" w:rsidRDefault="00DD31FE" w:rsidP="00430D78">
      <w:pPr>
        <w:pStyle w:val="ListParagraph"/>
        <w:rPr>
          <w:rFonts w:cs="Times New Roman"/>
          <w:szCs w:val="24"/>
        </w:rPr>
      </w:pPr>
    </w:p>
    <w:p w14:paraId="0CEC7F40" w14:textId="3AE3D8B0" w:rsidR="00AE60B6" w:rsidRDefault="00AE60B6" w:rsidP="00DF30A5">
      <w:pPr>
        <w:pStyle w:val="ListParagraph"/>
        <w:numPr>
          <w:ilvl w:val="0"/>
          <w:numId w:val="3"/>
        </w:numPr>
        <w:ind w:left="1440" w:hanging="720"/>
        <w:jc w:val="both"/>
        <w:rPr>
          <w:rFonts w:cs="Times New Roman"/>
          <w:szCs w:val="24"/>
        </w:rPr>
      </w:pPr>
      <w:r w:rsidRPr="00E9197D">
        <w:rPr>
          <w:rFonts w:cs="Times New Roman"/>
          <w:szCs w:val="24"/>
        </w:rPr>
        <w:t xml:space="preserve">The </w:t>
      </w:r>
      <w:r w:rsidR="00DF30A5">
        <w:rPr>
          <w:rFonts w:cs="Times New Roman"/>
          <w:szCs w:val="24"/>
        </w:rPr>
        <w:t>road district</w:t>
      </w:r>
      <w:r w:rsidRPr="00E9197D">
        <w:rPr>
          <w:rFonts w:cs="Times New Roman"/>
          <w:szCs w:val="24"/>
        </w:rPr>
        <w:t xml:space="preserve"> might include a mutual indemnification provision as well, holding that each side is to release, indemnify, and hold harmless the other side to the extent any liabilities, obligations, etc. arise out of the indemnifying/holding harmless party’s actions</w:t>
      </w:r>
      <w:r w:rsidR="006A56F3" w:rsidRPr="00E9197D">
        <w:rPr>
          <w:rFonts w:cs="Times New Roman"/>
          <w:szCs w:val="24"/>
        </w:rPr>
        <w:t>.</w:t>
      </w:r>
    </w:p>
    <w:p w14:paraId="1962A0D0" w14:textId="77777777" w:rsidR="0015583E" w:rsidRDefault="0015583E" w:rsidP="0015583E">
      <w:pPr>
        <w:pStyle w:val="ListParagraph"/>
        <w:ind w:left="1440"/>
        <w:rPr>
          <w:rFonts w:cs="Times New Roman"/>
          <w:szCs w:val="24"/>
        </w:rPr>
      </w:pPr>
    </w:p>
    <w:p w14:paraId="346C9DE1" w14:textId="3720D70B" w:rsidR="00CA12FD" w:rsidRDefault="00BB7485" w:rsidP="00DF30A5">
      <w:pPr>
        <w:pStyle w:val="ListParagraph"/>
        <w:numPr>
          <w:ilvl w:val="1"/>
          <w:numId w:val="3"/>
        </w:numPr>
        <w:ind w:left="2160" w:hanging="720"/>
        <w:jc w:val="both"/>
        <w:rPr>
          <w:rFonts w:cs="Times New Roman"/>
          <w:szCs w:val="24"/>
        </w:rPr>
      </w:pPr>
      <w:r>
        <w:rPr>
          <w:rFonts w:cs="Times New Roman"/>
          <w:szCs w:val="24"/>
        </w:rPr>
        <w:t xml:space="preserve">The RUA provides a mechanism for the construction project participants to conduct repairs and/or reimburse the </w:t>
      </w:r>
      <w:r w:rsidR="00DF30A5">
        <w:rPr>
          <w:rFonts w:cs="Times New Roman"/>
          <w:szCs w:val="24"/>
        </w:rPr>
        <w:t>road district</w:t>
      </w:r>
      <w:r>
        <w:rPr>
          <w:rFonts w:cs="Times New Roman"/>
          <w:szCs w:val="24"/>
        </w:rPr>
        <w:t xml:space="preserve"> for any damage done to </w:t>
      </w:r>
      <w:r w:rsidR="00DF30A5">
        <w:rPr>
          <w:rFonts w:cs="Times New Roman"/>
          <w:szCs w:val="24"/>
        </w:rPr>
        <w:t>road district</w:t>
      </w:r>
      <w:r>
        <w:rPr>
          <w:rFonts w:cs="Times New Roman"/>
          <w:szCs w:val="24"/>
        </w:rPr>
        <w:t xml:space="preserve"> roadways. However, if there is an event causing liability exposure to </w:t>
      </w:r>
      <w:r w:rsidR="0015583E">
        <w:rPr>
          <w:rFonts w:cs="Times New Roman"/>
          <w:szCs w:val="24"/>
        </w:rPr>
        <w:t xml:space="preserve">one of the project participants, it is possible they could bring a legal action against the </w:t>
      </w:r>
      <w:r w:rsidR="00DF30A5">
        <w:rPr>
          <w:rFonts w:cs="Times New Roman"/>
          <w:szCs w:val="24"/>
        </w:rPr>
        <w:t>road district</w:t>
      </w:r>
      <w:r w:rsidR="00EB7B62">
        <w:rPr>
          <w:rFonts w:cs="Times New Roman"/>
          <w:szCs w:val="24"/>
        </w:rPr>
        <w:t>- either</w:t>
      </w:r>
      <w:r w:rsidR="0015583E">
        <w:rPr>
          <w:rFonts w:cs="Times New Roman"/>
          <w:szCs w:val="24"/>
        </w:rPr>
        <w:t xml:space="preserve"> seeking to pass off liability or seek</w:t>
      </w:r>
      <w:r w:rsidR="00EB7B62">
        <w:rPr>
          <w:rFonts w:cs="Times New Roman"/>
          <w:szCs w:val="24"/>
        </w:rPr>
        <w:t>ing</w:t>
      </w:r>
      <w:r w:rsidR="0015583E">
        <w:rPr>
          <w:rFonts w:cs="Times New Roman"/>
          <w:szCs w:val="24"/>
        </w:rPr>
        <w:t xml:space="preserve"> contribution for any resulting judgment.</w:t>
      </w:r>
    </w:p>
    <w:p w14:paraId="1D106A3D" w14:textId="77777777" w:rsidR="00043012" w:rsidRDefault="00043012" w:rsidP="00DF30A5">
      <w:pPr>
        <w:pStyle w:val="ListParagraph"/>
        <w:ind w:left="2160" w:hanging="720"/>
        <w:jc w:val="both"/>
        <w:rPr>
          <w:rFonts w:cs="Times New Roman"/>
          <w:szCs w:val="24"/>
        </w:rPr>
      </w:pPr>
    </w:p>
    <w:p w14:paraId="6D526CDE" w14:textId="0423EDD8" w:rsidR="00043012" w:rsidRDefault="0015583E" w:rsidP="00DF30A5">
      <w:pPr>
        <w:pStyle w:val="ListParagraph"/>
        <w:numPr>
          <w:ilvl w:val="1"/>
          <w:numId w:val="3"/>
        </w:numPr>
        <w:ind w:left="2160" w:hanging="720"/>
        <w:jc w:val="both"/>
        <w:rPr>
          <w:rFonts w:cs="Times New Roman"/>
          <w:szCs w:val="24"/>
        </w:rPr>
      </w:pPr>
      <w:r>
        <w:rPr>
          <w:rFonts w:cs="Times New Roman"/>
          <w:szCs w:val="24"/>
        </w:rPr>
        <w:t xml:space="preserve">A mutual indemnification provision would help limit the </w:t>
      </w:r>
      <w:r w:rsidR="00DF30A5">
        <w:rPr>
          <w:rFonts w:cs="Times New Roman"/>
          <w:szCs w:val="24"/>
        </w:rPr>
        <w:t>road district</w:t>
      </w:r>
      <w:r>
        <w:rPr>
          <w:rFonts w:cs="Times New Roman"/>
          <w:szCs w:val="24"/>
        </w:rPr>
        <w:t xml:space="preserve">’s liability exposure for the actions </w:t>
      </w:r>
      <w:r w:rsidR="00043012">
        <w:rPr>
          <w:rFonts w:cs="Times New Roman"/>
          <w:szCs w:val="24"/>
        </w:rPr>
        <w:t>attributable to</w:t>
      </w:r>
      <w:r>
        <w:rPr>
          <w:rFonts w:cs="Times New Roman"/>
          <w:szCs w:val="24"/>
        </w:rPr>
        <w:t xml:space="preserve"> the </w:t>
      </w:r>
      <w:r w:rsidR="00436043">
        <w:rPr>
          <w:rFonts w:cs="Times New Roman"/>
          <w:szCs w:val="24"/>
        </w:rPr>
        <w:t>participants in the construction project</w:t>
      </w:r>
      <w:r>
        <w:rPr>
          <w:rFonts w:cs="Times New Roman"/>
          <w:szCs w:val="24"/>
        </w:rPr>
        <w:t xml:space="preserve">. Granted, </w:t>
      </w:r>
      <w:r w:rsidR="00043012">
        <w:rPr>
          <w:rFonts w:cs="Times New Roman"/>
          <w:szCs w:val="24"/>
        </w:rPr>
        <w:t>such a provision</w:t>
      </w:r>
      <w:r>
        <w:rPr>
          <w:rFonts w:cs="Times New Roman"/>
          <w:szCs w:val="24"/>
        </w:rPr>
        <w:t xml:space="preserve"> would also limit the </w:t>
      </w:r>
      <w:r w:rsidR="00DF30A5">
        <w:rPr>
          <w:rFonts w:cs="Times New Roman"/>
          <w:szCs w:val="24"/>
        </w:rPr>
        <w:t>road district</w:t>
      </w:r>
      <w:r>
        <w:rPr>
          <w:rFonts w:cs="Times New Roman"/>
          <w:szCs w:val="24"/>
        </w:rPr>
        <w:t>’s potential recourse against the other parties to the Agreement</w:t>
      </w:r>
      <w:r w:rsidR="00043012">
        <w:rPr>
          <w:rFonts w:cs="Times New Roman"/>
          <w:szCs w:val="24"/>
        </w:rPr>
        <w:t xml:space="preserve"> and the </w:t>
      </w:r>
      <w:r w:rsidR="00DF30A5">
        <w:rPr>
          <w:rFonts w:cs="Times New Roman"/>
          <w:szCs w:val="24"/>
        </w:rPr>
        <w:t>road district</w:t>
      </w:r>
      <w:r w:rsidR="00043012">
        <w:rPr>
          <w:rFonts w:cs="Times New Roman"/>
          <w:szCs w:val="24"/>
        </w:rPr>
        <w:t xml:space="preserve"> would still maintain financial exposure for its own actions</w:t>
      </w:r>
      <w:r w:rsidR="00436043">
        <w:rPr>
          <w:rFonts w:cs="Times New Roman"/>
          <w:szCs w:val="24"/>
        </w:rPr>
        <w:t xml:space="preserve"> as the party generally responsible to the motoring public for the condition of its roads</w:t>
      </w:r>
      <w:r w:rsidR="00043012">
        <w:rPr>
          <w:rFonts w:cs="Times New Roman"/>
          <w:szCs w:val="24"/>
        </w:rPr>
        <w:t xml:space="preserve">. </w:t>
      </w:r>
    </w:p>
    <w:p w14:paraId="0E27601C" w14:textId="77777777" w:rsidR="00043012" w:rsidRPr="00043012" w:rsidRDefault="00043012" w:rsidP="00DF30A5">
      <w:pPr>
        <w:pStyle w:val="ListParagraph"/>
        <w:ind w:left="2160" w:hanging="720"/>
        <w:jc w:val="both"/>
        <w:rPr>
          <w:rFonts w:cs="Times New Roman"/>
          <w:szCs w:val="24"/>
        </w:rPr>
      </w:pPr>
    </w:p>
    <w:p w14:paraId="2D868A01" w14:textId="191258E4" w:rsidR="00043012" w:rsidRPr="00043012" w:rsidRDefault="00043012" w:rsidP="00DF30A5">
      <w:pPr>
        <w:pStyle w:val="ListParagraph"/>
        <w:numPr>
          <w:ilvl w:val="1"/>
          <w:numId w:val="3"/>
        </w:numPr>
        <w:ind w:left="2160" w:hanging="720"/>
        <w:jc w:val="both"/>
        <w:rPr>
          <w:rFonts w:cs="Times New Roman"/>
          <w:szCs w:val="24"/>
        </w:rPr>
      </w:pPr>
      <w:r>
        <w:rPr>
          <w:rFonts w:cs="Times New Roman"/>
          <w:szCs w:val="24"/>
        </w:rPr>
        <w:t>However,</w:t>
      </w:r>
      <w:r w:rsidR="0015583E">
        <w:rPr>
          <w:rFonts w:cs="Times New Roman"/>
          <w:szCs w:val="24"/>
        </w:rPr>
        <w:t xml:space="preserve"> given the bargaining power </w:t>
      </w:r>
      <w:r>
        <w:rPr>
          <w:rFonts w:cs="Times New Roman"/>
          <w:szCs w:val="24"/>
        </w:rPr>
        <w:t xml:space="preserve">of the respective parties and the fact that the project participants’ actions are much more likely to result in significant liability events than the actions of the </w:t>
      </w:r>
      <w:r w:rsidR="00DF30A5">
        <w:rPr>
          <w:rFonts w:cs="Times New Roman"/>
          <w:szCs w:val="24"/>
        </w:rPr>
        <w:t>road district</w:t>
      </w:r>
      <w:r w:rsidR="00437EF4">
        <w:rPr>
          <w:rFonts w:cs="Times New Roman"/>
          <w:szCs w:val="24"/>
        </w:rPr>
        <w:t xml:space="preserve"> in generally maintaining the roads</w:t>
      </w:r>
      <w:r>
        <w:rPr>
          <w:rFonts w:cs="Times New Roman"/>
          <w:szCs w:val="24"/>
        </w:rPr>
        <w:t xml:space="preserve">, agreeing to mutually indemnify and hold one another harmless could spare the </w:t>
      </w:r>
      <w:r w:rsidR="00DF30A5">
        <w:rPr>
          <w:rFonts w:cs="Times New Roman"/>
          <w:szCs w:val="24"/>
        </w:rPr>
        <w:t>road district</w:t>
      </w:r>
      <w:r>
        <w:rPr>
          <w:rFonts w:cs="Times New Roman"/>
          <w:szCs w:val="24"/>
        </w:rPr>
        <w:t xml:space="preserve"> from exposure to the </w:t>
      </w:r>
      <w:r w:rsidR="00436043">
        <w:rPr>
          <w:rFonts w:cs="Times New Roman"/>
          <w:szCs w:val="24"/>
        </w:rPr>
        <w:t>most significant judgments</w:t>
      </w:r>
      <w:r>
        <w:rPr>
          <w:rFonts w:cs="Times New Roman"/>
          <w:szCs w:val="24"/>
        </w:rPr>
        <w:t xml:space="preserve">. </w:t>
      </w:r>
    </w:p>
    <w:p w14:paraId="12DE1399" w14:textId="77777777" w:rsidR="00043012" w:rsidRDefault="00043012" w:rsidP="00043012">
      <w:pPr>
        <w:pStyle w:val="ListParagraph"/>
        <w:rPr>
          <w:rFonts w:cs="Times New Roman"/>
          <w:szCs w:val="24"/>
        </w:rPr>
      </w:pPr>
    </w:p>
    <w:p w14:paraId="64CC99FA" w14:textId="0B664B82" w:rsidR="00AE60B6" w:rsidRDefault="00AE60B6" w:rsidP="00DF30A5">
      <w:pPr>
        <w:pStyle w:val="ListParagraph"/>
        <w:numPr>
          <w:ilvl w:val="0"/>
          <w:numId w:val="3"/>
        </w:numPr>
        <w:ind w:left="1440" w:hanging="720"/>
        <w:jc w:val="both"/>
        <w:rPr>
          <w:rFonts w:cs="Times New Roman"/>
          <w:szCs w:val="24"/>
        </w:rPr>
      </w:pPr>
      <w:r>
        <w:rPr>
          <w:rFonts w:cs="Times New Roman"/>
          <w:szCs w:val="24"/>
        </w:rPr>
        <w:t xml:space="preserve">The RUA should also specify minimum levels of insurance coverage applicable to the </w:t>
      </w:r>
      <w:r w:rsidR="00437EF4">
        <w:rPr>
          <w:rFonts w:cs="Times New Roman"/>
          <w:szCs w:val="24"/>
        </w:rPr>
        <w:t>construction project participants</w:t>
      </w:r>
      <w:r>
        <w:rPr>
          <w:rFonts w:cs="Times New Roman"/>
          <w:szCs w:val="24"/>
        </w:rPr>
        <w:t xml:space="preserve">, </w:t>
      </w:r>
      <w:r w:rsidR="002D1258">
        <w:rPr>
          <w:rFonts w:cs="Times New Roman"/>
          <w:szCs w:val="24"/>
        </w:rPr>
        <w:t xml:space="preserve">including workers compensation coverage, commercial </w:t>
      </w:r>
      <w:r w:rsidR="00E9197D">
        <w:rPr>
          <w:rFonts w:cs="Times New Roman"/>
          <w:szCs w:val="24"/>
        </w:rPr>
        <w:t>au</w:t>
      </w:r>
      <w:r w:rsidR="002D1258">
        <w:rPr>
          <w:rFonts w:cs="Times New Roman"/>
          <w:szCs w:val="24"/>
        </w:rPr>
        <w:t xml:space="preserve">tomobile liability insurance, and commercial general liability coverage, among </w:t>
      </w:r>
      <w:r w:rsidR="00437EF4">
        <w:rPr>
          <w:rFonts w:cs="Times New Roman"/>
          <w:szCs w:val="24"/>
        </w:rPr>
        <w:t xml:space="preserve">potentially </w:t>
      </w:r>
      <w:r w:rsidR="002D1258">
        <w:rPr>
          <w:rFonts w:cs="Times New Roman"/>
          <w:szCs w:val="24"/>
        </w:rPr>
        <w:t xml:space="preserve">others. </w:t>
      </w:r>
      <w:r w:rsidR="00895416">
        <w:rPr>
          <w:rFonts w:cs="Times New Roman"/>
          <w:szCs w:val="24"/>
        </w:rPr>
        <w:t>Evidence of such insurance should be submitted prior to the initiation of any work or the transportation of any materials to the project site.</w:t>
      </w:r>
    </w:p>
    <w:p w14:paraId="1D90D0D6" w14:textId="77777777" w:rsidR="00436043" w:rsidRDefault="00436043" w:rsidP="00436043">
      <w:pPr>
        <w:pStyle w:val="ListParagraph"/>
        <w:rPr>
          <w:rFonts w:cs="Times New Roman"/>
          <w:szCs w:val="24"/>
        </w:rPr>
      </w:pPr>
    </w:p>
    <w:p w14:paraId="72C61FA6" w14:textId="7D27EE9F" w:rsidR="00436043" w:rsidRDefault="00436043" w:rsidP="00DF30A5">
      <w:pPr>
        <w:pStyle w:val="ListParagraph"/>
        <w:numPr>
          <w:ilvl w:val="1"/>
          <w:numId w:val="3"/>
        </w:numPr>
        <w:ind w:left="2160" w:hanging="720"/>
        <w:jc w:val="both"/>
        <w:rPr>
          <w:rFonts w:cs="Times New Roman"/>
          <w:szCs w:val="24"/>
        </w:rPr>
      </w:pPr>
      <w:r>
        <w:rPr>
          <w:rFonts w:cs="Times New Roman"/>
          <w:szCs w:val="24"/>
        </w:rPr>
        <w:lastRenderedPageBreak/>
        <w:t xml:space="preserve">The use of heavy, oversized loads on public roadways for which the </w:t>
      </w:r>
      <w:r w:rsidR="00DF30A5">
        <w:rPr>
          <w:rFonts w:cs="Times New Roman"/>
          <w:szCs w:val="24"/>
        </w:rPr>
        <w:t>road district</w:t>
      </w:r>
      <w:r>
        <w:rPr>
          <w:rFonts w:cs="Times New Roman"/>
          <w:szCs w:val="24"/>
        </w:rPr>
        <w:t xml:space="preserve"> maintains responsibility </w:t>
      </w:r>
      <w:r w:rsidR="00437EF4">
        <w:rPr>
          <w:rFonts w:cs="Times New Roman"/>
          <w:szCs w:val="24"/>
        </w:rPr>
        <w:t>presents</w:t>
      </w:r>
      <w:r>
        <w:rPr>
          <w:rFonts w:cs="Times New Roman"/>
          <w:szCs w:val="24"/>
        </w:rPr>
        <w:t xml:space="preserve"> the possibility of a major liability event </w:t>
      </w:r>
      <w:r w:rsidR="00437EF4">
        <w:rPr>
          <w:rFonts w:cs="Times New Roman"/>
          <w:szCs w:val="24"/>
        </w:rPr>
        <w:t xml:space="preserve">occurring </w:t>
      </w:r>
      <w:r>
        <w:rPr>
          <w:rFonts w:cs="Times New Roman"/>
          <w:szCs w:val="24"/>
        </w:rPr>
        <w:t xml:space="preserve">for which the </w:t>
      </w:r>
      <w:r w:rsidR="00DF30A5">
        <w:rPr>
          <w:rFonts w:cs="Times New Roman"/>
          <w:szCs w:val="24"/>
        </w:rPr>
        <w:t>road district</w:t>
      </w:r>
      <w:r>
        <w:rPr>
          <w:rFonts w:cs="Times New Roman"/>
          <w:szCs w:val="24"/>
        </w:rPr>
        <w:t xml:space="preserve">’s own insurance coverage </w:t>
      </w:r>
      <w:r w:rsidR="00437EF4">
        <w:rPr>
          <w:rFonts w:cs="Times New Roman"/>
          <w:szCs w:val="24"/>
        </w:rPr>
        <w:t>might</w:t>
      </w:r>
      <w:r>
        <w:rPr>
          <w:rFonts w:cs="Times New Roman"/>
          <w:szCs w:val="24"/>
        </w:rPr>
        <w:t xml:space="preserve"> be insufficient. </w:t>
      </w:r>
    </w:p>
    <w:p w14:paraId="1AD21795" w14:textId="77777777" w:rsidR="00436043" w:rsidRDefault="00436043" w:rsidP="00DF30A5">
      <w:pPr>
        <w:pStyle w:val="ListParagraph"/>
        <w:ind w:left="2160" w:hanging="720"/>
        <w:jc w:val="both"/>
        <w:rPr>
          <w:rFonts w:cs="Times New Roman"/>
          <w:szCs w:val="24"/>
        </w:rPr>
      </w:pPr>
    </w:p>
    <w:p w14:paraId="278CDCB1" w14:textId="41CBC545" w:rsidR="00436043" w:rsidRPr="00430D78" w:rsidRDefault="00436043" w:rsidP="00DF30A5">
      <w:pPr>
        <w:pStyle w:val="ListParagraph"/>
        <w:numPr>
          <w:ilvl w:val="1"/>
          <w:numId w:val="3"/>
        </w:numPr>
        <w:ind w:left="2160" w:hanging="720"/>
        <w:jc w:val="both"/>
        <w:rPr>
          <w:rFonts w:cs="Times New Roman"/>
          <w:szCs w:val="24"/>
        </w:rPr>
      </w:pPr>
      <w:r>
        <w:rPr>
          <w:rFonts w:cs="Times New Roman"/>
          <w:szCs w:val="24"/>
        </w:rPr>
        <w:t xml:space="preserve">As this increased liability exposure is directly attributable to the increased traffic and active operations of the major project, the </w:t>
      </w:r>
      <w:r w:rsidR="00DF30A5">
        <w:rPr>
          <w:rFonts w:cs="Times New Roman"/>
          <w:szCs w:val="24"/>
        </w:rPr>
        <w:t>road district</w:t>
      </w:r>
      <w:r>
        <w:rPr>
          <w:rFonts w:cs="Times New Roman"/>
          <w:szCs w:val="24"/>
        </w:rPr>
        <w:t xml:space="preserve"> should seek to have themselves added by the project participants as an additional insured party on the required policies. </w:t>
      </w:r>
    </w:p>
    <w:p w14:paraId="31A75271" w14:textId="77777777" w:rsidR="00DD31FE" w:rsidRDefault="00DD31FE" w:rsidP="00DF30A5">
      <w:pPr>
        <w:pStyle w:val="ListParagraph"/>
        <w:jc w:val="both"/>
        <w:rPr>
          <w:rFonts w:cs="Times New Roman"/>
          <w:szCs w:val="24"/>
        </w:rPr>
      </w:pPr>
    </w:p>
    <w:p w14:paraId="6E03541C" w14:textId="4605F3F8" w:rsidR="008167D2" w:rsidRDefault="008167D2" w:rsidP="00DF30A5">
      <w:pPr>
        <w:pStyle w:val="ListParagraph"/>
        <w:numPr>
          <w:ilvl w:val="0"/>
          <w:numId w:val="3"/>
        </w:numPr>
        <w:ind w:left="1440" w:hanging="720"/>
        <w:jc w:val="both"/>
        <w:rPr>
          <w:rFonts w:cs="Times New Roman"/>
          <w:szCs w:val="24"/>
        </w:rPr>
      </w:pPr>
      <w:r w:rsidRPr="00D06A46">
        <w:rPr>
          <w:rFonts w:cs="Times New Roman"/>
          <w:szCs w:val="24"/>
        </w:rPr>
        <w:t xml:space="preserve">Provision for issuance of vehicle permits for any overweight or oversized vehicle should be included in the RUA, and any such permit is to be kept in the </w:t>
      </w:r>
      <w:r w:rsidR="006A56F3">
        <w:rPr>
          <w:rFonts w:cs="Times New Roman"/>
          <w:szCs w:val="24"/>
        </w:rPr>
        <w:t xml:space="preserve">subject </w:t>
      </w:r>
      <w:r w:rsidRPr="00D06A46">
        <w:rPr>
          <w:rFonts w:cs="Times New Roman"/>
          <w:szCs w:val="24"/>
        </w:rPr>
        <w:t>vehicle</w:t>
      </w:r>
      <w:r w:rsidR="00437EF4">
        <w:rPr>
          <w:rFonts w:cs="Times New Roman"/>
          <w:szCs w:val="24"/>
        </w:rPr>
        <w:t xml:space="preserve"> and made available upon request</w:t>
      </w:r>
      <w:r w:rsidR="000111D0">
        <w:rPr>
          <w:rFonts w:cs="Times New Roman"/>
          <w:szCs w:val="24"/>
        </w:rPr>
        <w:t>. Additional restrictions on the scope of any permit might be issued for certain parts of the year, particularly winter and early spring</w:t>
      </w:r>
      <w:r w:rsidR="000D4370">
        <w:rPr>
          <w:rFonts w:cs="Times New Roman"/>
          <w:szCs w:val="24"/>
        </w:rPr>
        <w:t>, or for particular weather or road conditions.</w:t>
      </w:r>
    </w:p>
    <w:p w14:paraId="49BB5899" w14:textId="77777777" w:rsidR="00E3238D" w:rsidRPr="00E3238D" w:rsidRDefault="00E3238D" w:rsidP="00DF30A5">
      <w:pPr>
        <w:pStyle w:val="ListParagraph"/>
        <w:jc w:val="both"/>
        <w:rPr>
          <w:rFonts w:cs="Times New Roman"/>
          <w:szCs w:val="24"/>
        </w:rPr>
      </w:pPr>
    </w:p>
    <w:p w14:paraId="2603CF21" w14:textId="759B5070" w:rsidR="00BC0253" w:rsidRDefault="00BC0253" w:rsidP="00DF30A5">
      <w:pPr>
        <w:pStyle w:val="ListParagraph"/>
        <w:numPr>
          <w:ilvl w:val="1"/>
          <w:numId w:val="3"/>
        </w:numPr>
        <w:ind w:left="2160" w:hanging="720"/>
        <w:jc w:val="both"/>
        <w:rPr>
          <w:rFonts w:cs="Times New Roman"/>
          <w:szCs w:val="24"/>
        </w:rPr>
      </w:pPr>
      <w:r>
        <w:rPr>
          <w:rFonts w:cs="Times New Roman"/>
          <w:szCs w:val="24"/>
        </w:rPr>
        <w:t>Oversized loads put a particular strain on roadways, especially if weight is not appropriately distributed between axles</w:t>
      </w:r>
      <w:r w:rsidR="002375D5">
        <w:rPr>
          <w:rFonts w:cs="Times New Roman"/>
          <w:szCs w:val="24"/>
        </w:rPr>
        <w:t xml:space="preserve"> and spaced. The project participants should identify prior to commencement the specifications for the oversized loads they plan on utilizing, but </w:t>
      </w:r>
      <w:r w:rsidR="003A1B5C">
        <w:rPr>
          <w:rFonts w:cs="Times New Roman"/>
          <w:szCs w:val="24"/>
        </w:rPr>
        <w:t xml:space="preserve">a permitting system should be in place to regulate the movement of such vehicles over </w:t>
      </w:r>
      <w:r w:rsidR="00DF30A5">
        <w:rPr>
          <w:rFonts w:cs="Times New Roman"/>
          <w:szCs w:val="24"/>
        </w:rPr>
        <w:t>road district</w:t>
      </w:r>
      <w:r w:rsidR="003A1B5C">
        <w:rPr>
          <w:rFonts w:cs="Times New Roman"/>
          <w:szCs w:val="24"/>
        </w:rPr>
        <w:t xml:space="preserve"> roads.</w:t>
      </w:r>
    </w:p>
    <w:p w14:paraId="16178D6B" w14:textId="77777777" w:rsidR="009B73A7" w:rsidRDefault="009B73A7" w:rsidP="00DF30A5">
      <w:pPr>
        <w:pStyle w:val="ListParagraph"/>
        <w:ind w:left="2160" w:hanging="720"/>
        <w:jc w:val="both"/>
        <w:rPr>
          <w:rFonts w:cs="Times New Roman"/>
          <w:szCs w:val="24"/>
        </w:rPr>
      </w:pPr>
    </w:p>
    <w:p w14:paraId="1DC4FB05" w14:textId="0EB5D6FB" w:rsidR="003A1B5C" w:rsidRDefault="003A1B5C" w:rsidP="00DF30A5">
      <w:pPr>
        <w:pStyle w:val="ListParagraph"/>
        <w:numPr>
          <w:ilvl w:val="1"/>
          <w:numId w:val="3"/>
        </w:numPr>
        <w:ind w:left="2160" w:hanging="720"/>
        <w:jc w:val="both"/>
        <w:rPr>
          <w:rFonts w:cs="Times New Roman"/>
          <w:szCs w:val="24"/>
        </w:rPr>
      </w:pPr>
      <w:r>
        <w:rPr>
          <w:rFonts w:cs="Times New Roman"/>
          <w:szCs w:val="24"/>
        </w:rPr>
        <w:t xml:space="preserve">IDOT is authorized by the Illinois Vehicle Code (625 ILCS 5/15, </w:t>
      </w:r>
      <w:r>
        <w:rPr>
          <w:rFonts w:cs="Times New Roman"/>
          <w:i/>
          <w:szCs w:val="24"/>
        </w:rPr>
        <w:t>et. seq.</w:t>
      </w:r>
      <w:r>
        <w:rPr>
          <w:rFonts w:cs="Times New Roman"/>
          <w:szCs w:val="24"/>
        </w:rPr>
        <w:t xml:space="preserve">) as well as 92 Illinois Administrative Code 554, Subchapter F to issue special permits for those vehicles exceeding otherwise applicable weight, height, length, and width requirements to operate on public roads under IDOT’s jurisdiction. </w:t>
      </w:r>
      <w:r w:rsidR="009B73A7">
        <w:rPr>
          <w:rFonts w:cs="Times New Roman"/>
          <w:szCs w:val="24"/>
        </w:rPr>
        <w:t xml:space="preserve">For those roads not under IDOT jurisdiction (i.e. under the jurisdiction of local units of government such as </w:t>
      </w:r>
      <w:r w:rsidR="00DF30A5">
        <w:rPr>
          <w:rFonts w:cs="Times New Roman"/>
          <w:szCs w:val="24"/>
        </w:rPr>
        <w:t>road district</w:t>
      </w:r>
      <w:r w:rsidR="009B73A7">
        <w:rPr>
          <w:rFonts w:cs="Times New Roman"/>
          <w:szCs w:val="24"/>
        </w:rPr>
        <w:t xml:space="preserve">s), the oversized load operator must obtain the permission of the local authorities. </w:t>
      </w:r>
    </w:p>
    <w:p w14:paraId="6F19BDC6" w14:textId="77777777" w:rsidR="002375D5" w:rsidRDefault="002375D5" w:rsidP="00DF30A5">
      <w:pPr>
        <w:pStyle w:val="ListParagraph"/>
        <w:ind w:left="2160" w:hanging="720"/>
        <w:jc w:val="both"/>
        <w:rPr>
          <w:rFonts w:cs="Times New Roman"/>
          <w:szCs w:val="24"/>
        </w:rPr>
      </w:pPr>
    </w:p>
    <w:p w14:paraId="0C54BC7C" w14:textId="6897AC02" w:rsidR="002375D5" w:rsidRPr="002375D5" w:rsidRDefault="009B73A7" w:rsidP="00DF30A5">
      <w:pPr>
        <w:pStyle w:val="ListParagraph"/>
        <w:numPr>
          <w:ilvl w:val="1"/>
          <w:numId w:val="3"/>
        </w:numPr>
        <w:ind w:left="2160" w:hanging="720"/>
        <w:jc w:val="both"/>
        <w:rPr>
          <w:rFonts w:cs="Times New Roman"/>
          <w:szCs w:val="24"/>
        </w:rPr>
      </w:pPr>
      <w:r>
        <w:rPr>
          <w:rFonts w:cs="Times New Roman"/>
          <w:szCs w:val="24"/>
        </w:rPr>
        <w:t>Thus</w:t>
      </w:r>
      <w:r w:rsidR="00BC0253">
        <w:rPr>
          <w:rFonts w:cs="Times New Roman"/>
          <w:szCs w:val="24"/>
        </w:rPr>
        <w:t xml:space="preserve">, a </w:t>
      </w:r>
      <w:r w:rsidR="00DF30A5">
        <w:rPr>
          <w:rFonts w:cs="Times New Roman"/>
          <w:szCs w:val="24"/>
        </w:rPr>
        <w:t>road district</w:t>
      </w:r>
      <w:r w:rsidR="00BC0253">
        <w:rPr>
          <w:rFonts w:cs="Times New Roman"/>
          <w:szCs w:val="24"/>
        </w:rPr>
        <w:t xml:space="preserve"> might issue individual “super load permits” </w:t>
      </w:r>
      <w:r>
        <w:rPr>
          <w:rFonts w:cs="Times New Roman"/>
          <w:szCs w:val="24"/>
        </w:rPr>
        <w:t xml:space="preserve">consistent with IDOT regulations </w:t>
      </w:r>
      <w:r w:rsidR="00BC0253">
        <w:rPr>
          <w:rFonts w:cs="Times New Roman"/>
          <w:szCs w:val="24"/>
        </w:rPr>
        <w:t xml:space="preserve">to those involved in the transportation of equipment and materials. </w:t>
      </w:r>
    </w:p>
    <w:p w14:paraId="5E2952D0" w14:textId="77777777" w:rsidR="002375D5" w:rsidRDefault="002375D5" w:rsidP="00DF30A5">
      <w:pPr>
        <w:pStyle w:val="ListParagraph"/>
        <w:ind w:left="2160"/>
        <w:jc w:val="both"/>
        <w:rPr>
          <w:rFonts w:cs="Times New Roman"/>
          <w:szCs w:val="24"/>
        </w:rPr>
      </w:pPr>
    </w:p>
    <w:p w14:paraId="7DBAB178" w14:textId="464AAE08" w:rsidR="00BC0253" w:rsidRDefault="00BC0253" w:rsidP="00DF30A5">
      <w:pPr>
        <w:pStyle w:val="ListParagraph"/>
        <w:numPr>
          <w:ilvl w:val="2"/>
          <w:numId w:val="3"/>
        </w:numPr>
        <w:ind w:left="2880" w:hanging="720"/>
        <w:jc w:val="both"/>
        <w:rPr>
          <w:rFonts w:cs="Times New Roman"/>
          <w:szCs w:val="24"/>
        </w:rPr>
      </w:pPr>
      <w:r>
        <w:rPr>
          <w:rFonts w:cs="Times New Roman"/>
          <w:szCs w:val="24"/>
        </w:rPr>
        <w:t xml:space="preserve">At a minimum, a load is designated </w:t>
      </w:r>
      <w:r w:rsidR="009B73A7">
        <w:rPr>
          <w:rFonts w:cs="Times New Roman"/>
          <w:szCs w:val="24"/>
        </w:rPr>
        <w:t xml:space="preserve">by IDOT </w:t>
      </w:r>
      <w:r>
        <w:rPr>
          <w:rFonts w:cs="Times New Roman"/>
          <w:szCs w:val="24"/>
        </w:rPr>
        <w:t>as a “super load”</w:t>
      </w:r>
      <w:r w:rsidR="00437EF4">
        <w:rPr>
          <w:rFonts w:cs="Times New Roman"/>
          <w:szCs w:val="24"/>
        </w:rPr>
        <w:t xml:space="preserve"> (and hence requiring a special permit)</w:t>
      </w:r>
      <w:r>
        <w:rPr>
          <w:rFonts w:cs="Times New Roman"/>
          <w:szCs w:val="24"/>
        </w:rPr>
        <w:t xml:space="preserve"> if any of the following is true: 1) load width is greater than 14’06”; 2) length of truck and trailer together is greater than 14’06</w:t>
      </w:r>
      <w:r w:rsidR="002375D5">
        <w:rPr>
          <w:rFonts w:cs="Times New Roman"/>
          <w:szCs w:val="24"/>
        </w:rPr>
        <w:t xml:space="preserve">”; 3) height is greater than 15’0”; or 4) gross weight is greater than 80,000 pounds. </w:t>
      </w:r>
    </w:p>
    <w:p w14:paraId="28C7A1AB" w14:textId="77777777" w:rsidR="000D4370" w:rsidRPr="000D4370" w:rsidRDefault="000D4370" w:rsidP="00DF30A5">
      <w:pPr>
        <w:pStyle w:val="ListParagraph"/>
        <w:jc w:val="both"/>
        <w:rPr>
          <w:rFonts w:cs="Times New Roman"/>
          <w:szCs w:val="24"/>
        </w:rPr>
      </w:pPr>
    </w:p>
    <w:p w14:paraId="30D53D27" w14:textId="4FFB6235" w:rsidR="000D4370" w:rsidRDefault="000D4370" w:rsidP="00DF30A5">
      <w:pPr>
        <w:pStyle w:val="ListParagraph"/>
        <w:numPr>
          <w:ilvl w:val="0"/>
          <w:numId w:val="3"/>
        </w:numPr>
        <w:ind w:left="1440" w:hanging="720"/>
        <w:jc w:val="both"/>
        <w:rPr>
          <w:rFonts w:cs="Times New Roman"/>
          <w:szCs w:val="24"/>
        </w:rPr>
      </w:pPr>
      <w:r>
        <w:rPr>
          <w:rFonts w:cs="Times New Roman"/>
          <w:szCs w:val="24"/>
        </w:rPr>
        <w:t xml:space="preserve">The </w:t>
      </w:r>
      <w:r w:rsidRPr="000D4370">
        <w:rPr>
          <w:rFonts w:cs="Times New Roman"/>
          <w:szCs w:val="24"/>
        </w:rPr>
        <w:t xml:space="preserve">RUA might also </w:t>
      </w:r>
      <w:r>
        <w:rPr>
          <w:rFonts w:cs="Times New Roman"/>
          <w:szCs w:val="24"/>
        </w:rPr>
        <w:t>state</w:t>
      </w:r>
      <w:r w:rsidRPr="000D4370">
        <w:rPr>
          <w:rFonts w:cs="Times New Roman"/>
          <w:szCs w:val="24"/>
        </w:rPr>
        <w:t xml:space="preserve"> that, to the extent possible, the utility is to limit the disruption to local traffic resulting from </w:t>
      </w:r>
      <w:r>
        <w:rPr>
          <w:rFonts w:cs="Times New Roman"/>
          <w:szCs w:val="24"/>
        </w:rPr>
        <w:t>its</w:t>
      </w:r>
      <w:r w:rsidRPr="000D4370">
        <w:rPr>
          <w:rFonts w:cs="Times New Roman"/>
          <w:szCs w:val="24"/>
        </w:rPr>
        <w:t xml:space="preserve"> project.</w:t>
      </w:r>
      <w:r w:rsidR="00BC0253">
        <w:rPr>
          <w:rFonts w:cs="Times New Roman"/>
          <w:szCs w:val="24"/>
        </w:rPr>
        <w:t xml:space="preserve"> Not only does the </w:t>
      </w:r>
      <w:r w:rsidR="00DF30A5">
        <w:rPr>
          <w:rFonts w:cs="Times New Roman"/>
          <w:szCs w:val="24"/>
        </w:rPr>
        <w:t>road district</w:t>
      </w:r>
      <w:r w:rsidR="00BC0253">
        <w:rPr>
          <w:rFonts w:cs="Times New Roman"/>
          <w:szCs w:val="24"/>
        </w:rPr>
        <w:t xml:space="preserve"> have liability exposure for injuries arising of its failure to maintain the condition of the roads under its control, but </w:t>
      </w:r>
      <w:r w:rsidR="007D7258">
        <w:rPr>
          <w:rFonts w:cs="Times New Roman"/>
          <w:szCs w:val="24"/>
        </w:rPr>
        <w:t>it also</w:t>
      </w:r>
      <w:r w:rsidR="00BC0253">
        <w:rPr>
          <w:rFonts w:cs="Times New Roman"/>
          <w:szCs w:val="24"/>
        </w:rPr>
        <w:t xml:space="preserve"> bears </w:t>
      </w:r>
      <w:r w:rsidR="007D7258">
        <w:rPr>
          <w:rFonts w:cs="Times New Roman"/>
          <w:szCs w:val="24"/>
        </w:rPr>
        <w:t xml:space="preserve">some </w:t>
      </w:r>
      <w:r w:rsidR="00BC0253">
        <w:rPr>
          <w:rFonts w:cs="Times New Roman"/>
          <w:szCs w:val="24"/>
        </w:rPr>
        <w:t xml:space="preserve">responsibility </w:t>
      </w:r>
      <w:r w:rsidR="0012426E">
        <w:rPr>
          <w:rFonts w:cs="Times New Roman"/>
          <w:szCs w:val="24"/>
        </w:rPr>
        <w:t xml:space="preserve">for </w:t>
      </w:r>
      <w:r w:rsidR="009B73A7">
        <w:rPr>
          <w:rFonts w:cs="Times New Roman"/>
          <w:szCs w:val="24"/>
        </w:rPr>
        <w:t>maintaining</w:t>
      </w:r>
      <w:r w:rsidR="00BC0253">
        <w:rPr>
          <w:rFonts w:cs="Times New Roman"/>
          <w:szCs w:val="24"/>
        </w:rPr>
        <w:t xml:space="preserve"> the free and largely unimpeded flow of traffic over </w:t>
      </w:r>
      <w:r w:rsidR="009B73A7">
        <w:rPr>
          <w:rFonts w:cs="Times New Roman"/>
          <w:szCs w:val="24"/>
        </w:rPr>
        <w:t>its</w:t>
      </w:r>
      <w:r w:rsidR="00BC0253">
        <w:rPr>
          <w:rFonts w:cs="Times New Roman"/>
          <w:szCs w:val="24"/>
        </w:rPr>
        <w:t xml:space="preserve"> roads.</w:t>
      </w:r>
    </w:p>
    <w:p w14:paraId="671E06AF" w14:textId="77777777" w:rsidR="007D7258" w:rsidRDefault="007D7258" w:rsidP="00DF30A5">
      <w:pPr>
        <w:pStyle w:val="ListParagraph"/>
        <w:ind w:left="1440"/>
        <w:jc w:val="both"/>
        <w:rPr>
          <w:rFonts w:cs="Times New Roman"/>
          <w:szCs w:val="24"/>
        </w:rPr>
      </w:pPr>
    </w:p>
    <w:p w14:paraId="51F9283E" w14:textId="69384701" w:rsidR="007D7258" w:rsidRDefault="009B73A7" w:rsidP="00DF30A5">
      <w:pPr>
        <w:pStyle w:val="ListParagraph"/>
        <w:numPr>
          <w:ilvl w:val="1"/>
          <w:numId w:val="3"/>
        </w:numPr>
        <w:ind w:left="2160" w:hanging="720"/>
        <w:jc w:val="both"/>
        <w:rPr>
          <w:rFonts w:cs="Times New Roman"/>
          <w:szCs w:val="24"/>
        </w:rPr>
      </w:pPr>
      <w:r>
        <w:rPr>
          <w:rFonts w:cs="Times New Roman"/>
          <w:szCs w:val="24"/>
        </w:rPr>
        <w:t xml:space="preserve">The Agreement might </w:t>
      </w:r>
      <w:r w:rsidR="007D7258">
        <w:rPr>
          <w:rFonts w:cs="Times New Roman"/>
          <w:szCs w:val="24"/>
        </w:rPr>
        <w:t xml:space="preserve">be a good place to impress upon those involved in the construction project and the transportation of materials and equipment that they are to strive to minimize their disruption to the motoring public. </w:t>
      </w:r>
    </w:p>
    <w:p w14:paraId="79D93EF9" w14:textId="77777777" w:rsidR="002E772D" w:rsidRDefault="002E772D" w:rsidP="00DF30A5">
      <w:pPr>
        <w:pStyle w:val="ListParagraph"/>
        <w:ind w:left="2160" w:hanging="720"/>
        <w:jc w:val="both"/>
        <w:rPr>
          <w:rFonts w:cs="Times New Roman"/>
          <w:szCs w:val="24"/>
        </w:rPr>
      </w:pPr>
    </w:p>
    <w:p w14:paraId="2F08DBFD" w14:textId="0CA4B6ED" w:rsidR="002E772D" w:rsidRDefault="002E772D" w:rsidP="00DF30A5">
      <w:pPr>
        <w:pStyle w:val="ListParagraph"/>
        <w:numPr>
          <w:ilvl w:val="1"/>
          <w:numId w:val="3"/>
        </w:numPr>
        <w:ind w:left="2160" w:hanging="720"/>
        <w:jc w:val="both"/>
        <w:rPr>
          <w:rFonts w:cs="Times New Roman"/>
          <w:szCs w:val="24"/>
        </w:rPr>
      </w:pPr>
      <w:r>
        <w:rPr>
          <w:rFonts w:cs="Times New Roman"/>
          <w:szCs w:val="24"/>
        </w:rPr>
        <w:t xml:space="preserve">Additionally, the project lead and its various contractors should be directed to minimize their use of the </w:t>
      </w:r>
      <w:r w:rsidR="00DF30A5">
        <w:rPr>
          <w:rFonts w:cs="Times New Roman"/>
          <w:szCs w:val="24"/>
        </w:rPr>
        <w:t>road district</w:t>
      </w:r>
      <w:r>
        <w:rPr>
          <w:rFonts w:cs="Times New Roman"/>
          <w:szCs w:val="24"/>
        </w:rPr>
        <w:t xml:space="preserve">’s roadways for the parking of trucks and other machinery as well as their staging of work in general. Parking vehicles in the roadway is not only inconvenient to the general motoring public, but also dangerous when they attempt to pass through </w:t>
      </w:r>
      <w:r w:rsidR="00DD31FE">
        <w:rPr>
          <w:rFonts w:cs="Times New Roman"/>
          <w:szCs w:val="24"/>
        </w:rPr>
        <w:t xml:space="preserve">stretches of roadway impeded by vehicles and machinery. </w:t>
      </w:r>
      <w:r>
        <w:rPr>
          <w:rFonts w:cs="Times New Roman"/>
          <w:szCs w:val="24"/>
        </w:rPr>
        <w:t xml:space="preserve"> </w:t>
      </w:r>
    </w:p>
    <w:p w14:paraId="774CAEA0" w14:textId="77777777" w:rsidR="00430D78" w:rsidRPr="00430D78" w:rsidRDefault="00430D78" w:rsidP="00DF30A5">
      <w:pPr>
        <w:pStyle w:val="ListParagraph"/>
        <w:ind w:left="1440"/>
        <w:jc w:val="both"/>
        <w:rPr>
          <w:rFonts w:cs="Times New Roman"/>
          <w:szCs w:val="24"/>
        </w:rPr>
      </w:pPr>
    </w:p>
    <w:p w14:paraId="620FBAEF" w14:textId="73C14E3F" w:rsidR="007D7258" w:rsidRDefault="00A559A4" w:rsidP="00DF30A5">
      <w:pPr>
        <w:pStyle w:val="ListParagraph"/>
        <w:numPr>
          <w:ilvl w:val="0"/>
          <w:numId w:val="3"/>
        </w:numPr>
        <w:ind w:left="1440" w:hanging="720"/>
        <w:jc w:val="both"/>
        <w:rPr>
          <w:rFonts w:cs="Times New Roman"/>
          <w:szCs w:val="24"/>
        </w:rPr>
      </w:pPr>
      <w:r>
        <w:rPr>
          <w:rFonts w:cs="Times New Roman"/>
          <w:szCs w:val="24"/>
        </w:rPr>
        <w:t xml:space="preserve">The </w:t>
      </w:r>
      <w:r w:rsidR="00DF30A5">
        <w:rPr>
          <w:rFonts w:cs="Times New Roman"/>
          <w:szCs w:val="24"/>
        </w:rPr>
        <w:t>road district</w:t>
      </w:r>
      <w:r>
        <w:rPr>
          <w:rFonts w:cs="Times New Roman"/>
          <w:szCs w:val="24"/>
        </w:rPr>
        <w:t xml:space="preserve"> should spell out the utility’s responsibility to make temporary repairs during the pendency of the project. </w:t>
      </w:r>
    </w:p>
    <w:p w14:paraId="3D2A5269" w14:textId="77777777" w:rsidR="00FA0D62" w:rsidRDefault="00FA0D62" w:rsidP="00DF30A5">
      <w:pPr>
        <w:pStyle w:val="ListParagraph"/>
        <w:ind w:left="1440"/>
        <w:jc w:val="both"/>
        <w:rPr>
          <w:rFonts w:cs="Times New Roman"/>
          <w:szCs w:val="24"/>
        </w:rPr>
      </w:pPr>
    </w:p>
    <w:p w14:paraId="18AC358D" w14:textId="46C506FB" w:rsidR="007D7258" w:rsidRDefault="007D7258" w:rsidP="00DF30A5">
      <w:pPr>
        <w:pStyle w:val="ListParagraph"/>
        <w:numPr>
          <w:ilvl w:val="1"/>
          <w:numId w:val="3"/>
        </w:numPr>
        <w:ind w:left="2160" w:hanging="720"/>
        <w:jc w:val="both"/>
        <w:rPr>
          <w:rFonts w:cs="Times New Roman"/>
          <w:szCs w:val="24"/>
        </w:rPr>
      </w:pPr>
      <w:r>
        <w:rPr>
          <w:rFonts w:cs="Times New Roman"/>
          <w:szCs w:val="24"/>
        </w:rPr>
        <w:t xml:space="preserve">The </w:t>
      </w:r>
      <w:r w:rsidR="00DF30A5">
        <w:rPr>
          <w:rFonts w:cs="Times New Roman"/>
          <w:szCs w:val="24"/>
        </w:rPr>
        <w:t>road district</w:t>
      </w:r>
      <w:r>
        <w:rPr>
          <w:rFonts w:cs="Times New Roman"/>
          <w:szCs w:val="24"/>
        </w:rPr>
        <w:t xml:space="preserve"> remains generally liable to the motoring public for property damage </w:t>
      </w:r>
      <w:r w:rsidR="00AD5CAD">
        <w:rPr>
          <w:rFonts w:cs="Times New Roman"/>
          <w:szCs w:val="24"/>
        </w:rPr>
        <w:t xml:space="preserve">and personal injuries </w:t>
      </w:r>
      <w:r>
        <w:rPr>
          <w:rFonts w:cs="Times New Roman"/>
          <w:szCs w:val="24"/>
        </w:rPr>
        <w:t xml:space="preserve">attributable to </w:t>
      </w:r>
      <w:r w:rsidR="00FA0D62">
        <w:rPr>
          <w:rFonts w:cs="Times New Roman"/>
          <w:szCs w:val="24"/>
        </w:rPr>
        <w:t xml:space="preserve">the conditions of the road under its jurisdiction. Thus, if roadways are damaged in a way that increase the danger to motorists, the </w:t>
      </w:r>
      <w:r w:rsidR="00DF30A5">
        <w:rPr>
          <w:rFonts w:cs="Times New Roman"/>
          <w:szCs w:val="24"/>
        </w:rPr>
        <w:t>road district</w:t>
      </w:r>
      <w:r w:rsidR="00FA0D62">
        <w:rPr>
          <w:rFonts w:cs="Times New Roman"/>
          <w:szCs w:val="24"/>
        </w:rPr>
        <w:t xml:space="preserve"> might incur liability even if a construction project participant is responsible</w:t>
      </w:r>
      <w:r w:rsidR="001116E9">
        <w:rPr>
          <w:rFonts w:cs="Times New Roman"/>
          <w:szCs w:val="24"/>
        </w:rPr>
        <w:t xml:space="preserve"> for the defect</w:t>
      </w:r>
      <w:r w:rsidR="00FA0D62">
        <w:rPr>
          <w:rFonts w:cs="Times New Roman"/>
          <w:szCs w:val="24"/>
        </w:rPr>
        <w:t>. Hence, it is important that the RUA require</w:t>
      </w:r>
      <w:r w:rsidR="001116E9">
        <w:rPr>
          <w:rFonts w:cs="Times New Roman"/>
          <w:szCs w:val="24"/>
        </w:rPr>
        <w:t xml:space="preserve">s the responsible party to make provisional, interim repairs to </w:t>
      </w:r>
      <w:r w:rsidR="00DF30A5">
        <w:rPr>
          <w:rFonts w:cs="Times New Roman"/>
          <w:szCs w:val="24"/>
        </w:rPr>
        <w:t>road district</w:t>
      </w:r>
      <w:r w:rsidR="001116E9">
        <w:rPr>
          <w:rFonts w:cs="Times New Roman"/>
          <w:szCs w:val="24"/>
        </w:rPr>
        <w:t xml:space="preserve"> infrastructure before a more permanent restoration can be made. </w:t>
      </w:r>
    </w:p>
    <w:p w14:paraId="275442C1" w14:textId="77777777" w:rsidR="00FA0D62" w:rsidRDefault="00FA0D62" w:rsidP="00DF30A5">
      <w:pPr>
        <w:pStyle w:val="ListParagraph"/>
        <w:ind w:left="1440"/>
        <w:jc w:val="both"/>
        <w:rPr>
          <w:rFonts w:cs="Times New Roman"/>
          <w:szCs w:val="24"/>
        </w:rPr>
      </w:pPr>
    </w:p>
    <w:p w14:paraId="4543C706" w14:textId="783B5F39" w:rsidR="00A559A4" w:rsidRDefault="00A559A4" w:rsidP="00DF30A5">
      <w:pPr>
        <w:pStyle w:val="ListParagraph"/>
        <w:numPr>
          <w:ilvl w:val="1"/>
          <w:numId w:val="3"/>
        </w:numPr>
        <w:ind w:left="2160" w:hanging="720"/>
        <w:jc w:val="both"/>
        <w:rPr>
          <w:rFonts w:cs="Times New Roman"/>
          <w:szCs w:val="24"/>
        </w:rPr>
      </w:pPr>
      <w:r>
        <w:rPr>
          <w:rFonts w:cs="Times New Roman"/>
          <w:szCs w:val="24"/>
        </w:rPr>
        <w:t xml:space="preserve">Should the </w:t>
      </w:r>
      <w:r w:rsidR="001116E9">
        <w:rPr>
          <w:rFonts w:cs="Times New Roman"/>
          <w:szCs w:val="24"/>
        </w:rPr>
        <w:t>other parties</w:t>
      </w:r>
      <w:r>
        <w:rPr>
          <w:rFonts w:cs="Times New Roman"/>
          <w:szCs w:val="24"/>
        </w:rPr>
        <w:t xml:space="preserve"> fail to make such repairs within the designated time period, the </w:t>
      </w:r>
      <w:r w:rsidR="00DF30A5">
        <w:rPr>
          <w:rFonts w:cs="Times New Roman"/>
          <w:szCs w:val="24"/>
        </w:rPr>
        <w:t>road district</w:t>
      </w:r>
      <w:r>
        <w:rPr>
          <w:rFonts w:cs="Times New Roman"/>
          <w:szCs w:val="24"/>
        </w:rPr>
        <w:t xml:space="preserve"> should reserve the right to retain a contractor at the </w:t>
      </w:r>
      <w:r w:rsidR="001116E9">
        <w:rPr>
          <w:rFonts w:cs="Times New Roman"/>
          <w:szCs w:val="24"/>
        </w:rPr>
        <w:t>other parties’</w:t>
      </w:r>
      <w:r>
        <w:rPr>
          <w:rFonts w:cs="Times New Roman"/>
          <w:szCs w:val="24"/>
        </w:rPr>
        <w:t xml:space="preserve"> expense to </w:t>
      </w:r>
      <w:r w:rsidR="001116E9">
        <w:rPr>
          <w:rFonts w:cs="Times New Roman"/>
          <w:szCs w:val="24"/>
        </w:rPr>
        <w:t>make</w:t>
      </w:r>
      <w:r>
        <w:rPr>
          <w:rFonts w:cs="Times New Roman"/>
          <w:szCs w:val="24"/>
        </w:rPr>
        <w:t xml:space="preserve"> such repairs. </w:t>
      </w:r>
    </w:p>
    <w:p w14:paraId="543710DD" w14:textId="77777777" w:rsidR="00A559A4" w:rsidRPr="00A559A4" w:rsidRDefault="00A559A4" w:rsidP="00DF30A5">
      <w:pPr>
        <w:pStyle w:val="ListParagraph"/>
        <w:jc w:val="both"/>
        <w:rPr>
          <w:rFonts w:cs="Times New Roman"/>
          <w:szCs w:val="24"/>
        </w:rPr>
      </w:pPr>
    </w:p>
    <w:p w14:paraId="41B1239B" w14:textId="3592ECBF" w:rsidR="002D1258" w:rsidRDefault="00D06A46" w:rsidP="00DF30A5">
      <w:pPr>
        <w:pStyle w:val="ListParagraph"/>
        <w:numPr>
          <w:ilvl w:val="0"/>
          <w:numId w:val="3"/>
        </w:numPr>
        <w:ind w:left="1440" w:hanging="720"/>
        <w:jc w:val="both"/>
        <w:rPr>
          <w:rFonts w:cs="Times New Roman"/>
          <w:szCs w:val="24"/>
        </w:rPr>
      </w:pPr>
      <w:r>
        <w:rPr>
          <w:rFonts w:cs="Times New Roman"/>
          <w:szCs w:val="24"/>
        </w:rPr>
        <w:t xml:space="preserve">Notice and </w:t>
      </w:r>
      <w:r w:rsidR="00DF30A5">
        <w:rPr>
          <w:rFonts w:cs="Times New Roman"/>
          <w:szCs w:val="24"/>
        </w:rPr>
        <w:t>road district</w:t>
      </w:r>
      <w:r w:rsidR="00A559A4">
        <w:rPr>
          <w:rFonts w:cs="Times New Roman"/>
          <w:szCs w:val="24"/>
        </w:rPr>
        <w:t xml:space="preserve"> approval</w:t>
      </w:r>
      <w:r>
        <w:rPr>
          <w:rFonts w:cs="Times New Roman"/>
          <w:szCs w:val="24"/>
        </w:rPr>
        <w:t xml:space="preserve"> should be required before the </w:t>
      </w:r>
      <w:r w:rsidR="001116E9">
        <w:rPr>
          <w:rFonts w:cs="Times New Roman"/>
          <w:szCs w:val="24"/>
        </w:rPr>
        <w:t>construction project participants</w:t>
      </w:r>
      <w:r>
        <w:rPr>
          <w:rFonts w:cs="Times New Roman"/>
          <w:szCs w:val="24"/>
        </w:rPr>
        <w:t xml:space="preserve"> engage in any </w:t>
      </w:r>
      <w:r w:rsidR="000111D0">
        <w:rPr>
          <w:rFonts w:cs="Times New Roman"/>
          <w:szCs w:val="24"/>
        </w:rPr>
        <w:t xml:space="preserve">temporary or permanent modifications to the </w:t>
      </w:r>
      <w:r w:rsidR="00DF30A5">
        <w:rPr>
          <w:rFonts w:cs="Times New Roman"/>
          <w:szCs w:val="24"/>
        </w:rPr>
        <w:t>road district</w:t>
      </w:r>
      <w:r w:rsidR="000111D0">
        <w:rPr>
          <w:rFonts w:cs="Times New Roman"/>
          <w:szCs w:val="24"/>
        </w:rPr>
        <w:t xml:space="preserve">’s roadways </w:t>
      </w:r>
      <w:r w:rsidR="006A56F3">
        <w:rPr>
          <w:rFonts w:cs="Times New Roman"/>
          <w:szCs w:val="24"/>
        </w:rPr>
        <w:t>or</w:t>
      </w:r>
      <w:r w:rsidR="000111D0">
        <w:rPr>
          <w:rFonts w:cs="Times New Roman"/>
          <w:szCs w:val="24"/>
        </w:rPr>
        <w:t xml:space="preserve"> other property</w:t>
      </w:r>
      <w:r w:rsidR="00F93616">
        <w:rPr>
          <w:rFonts w:cs="Times New Roman"/>
          <w:szCs w:val="24"/>
        </w:rPr>
        <w:t xml:space="preserve">. </w:t>
      </w:r>
      <w:r w:rsidR="002D1258">
        <w:rPr>
          <w:rFonts w:cs="Times New Roman"/>
          <w:szCs w:val="24"/>
        </w:rPr>
        <w:t>If such modifications or improvements can be anticipated prior to commencement of the project, they should be</w:t>
      </w:r>
      <w:r w:rsidR="006A56F3">
        <w:rPr>
          <w:rFonts w:cs="Times New Roman"/>
          <w:szCs w:val="24"/>
        </w:rPr>
        <w:t xml:space="preserve"> specifically</w:t>
      </w:r>
      <w:r w:rsidR="002D1258">
        <w:rPr>
          <w:rFonts w:cs="Times New Roman"/>
          <w:szCs w:val="24"/>
        </w:rPr>
        <w:t xml:space="preserve"> dealt with in the RUA. </w:t>
      </w:r>
    </w:p>
    <w:p w14:paraId="43AFD244" w14:textId="77777777" w:rsidR="002D1258" w:rsidRPr="002D1258" w:rsidRDefault="002D1258" w:rsidP="00DF30A5">
      <w:pPr>
        <w:pStyle w:val="ListParagraph"/>
        <w:jc w:val="both"/>
        <w:rPr>
          <w:rFonts w:cs="Times New Roman"/>
          <w:szCs w:val="24"/>
        </w:rPr>
      </w:pPr>
    </w:p>
    <w:p w14:paraId="61B2F080" w14:textId="663CF697" w:rsidR="00233941" w:rsidRDefault="00233941" w:rsidP="00DF30A5">
      <w:pPr>
        <w:pStyle w:val="ListParagraph"/>
        <w:numPr>
          <w:ilvl w:val="1"/>
          <w:numId w:val="3"/>
        </w:numPr>
        <w:ind w:left="2160" w:hanging="720"/>
        <w:jc w:val="both"/>
        <w:rPr>
          <w:rFonts w:cs="Times New Roman"/>
          <w:szCs w:val="24"/>
        </w:rPr>
      </w:pPr>
      <w:r>
        <w:rPr>
          <w:rFonts w:cs="Times New Roman"/>
          <w:szCs w:val="24"/>
        </w:rPr>
        <w:t xml:space="preserve">Widening of intersections/corners to permit </w:t>
      </w:r>
      <w:r w:rsidR="006A56F3">
        <w:rPr>
          <w:rFonts w:cs="Times New Roman"/>
          <w:szCs w:val="24"/>
        </w:rPr>
        <w:t>sufficient</w:t>
      </w:r>
      <w:r>
        <w:rPr>
          <w:rFonts w:cs="Times New Roman"/>
          <w:szCs w:val="24"/>
        </w:rPr>
        <w:t xml:space="preserve"> turning radius for trucks is one particular improvement that might need to be undertaken prior to commencement </w:t>
      </w:r>
      <w:r w:rsidR="006A56F3">
        <w:rPr>
          <w:rFonts w:cs="Times New Roman"/>
          <w:szCs w:val="24"/>
        </w:rPr>
        <w:t xml:space="preserve">of a project. </w:t>
      </w:r>
    </w:p>
    <w:p w14:paraId="49A20EA4" w14:textId="77777777" w:rsidR="00233941" w:rsidRDefault="00233941" w:rsidP="00DF30A5">
      <w:pPr>
        <w:pStyle w:val="ListParagraph"/>
        <w:ind w:left="2160" w:hanging="720"/>
        <w:jc w:val="both"/>
        <w:rPr>
          <w:rFonts w:cs="Times New Roman"/>
          <w:szCs w:val="24"/>
        </w:rPr>
      </w:pPr>
    </w:p>
    <w:p w14:paraId="25AA1129" w14:textId="04284A5D" w:rsidR="00D06A46" w:rsidRDefault="006A56F3" w:rsidP="00DF30A5">
      <w:pPr>
        <w:pStyle w:val="ListParagraph"/>
        <w:numPr>
          <w:ilvl w:val="1"/>
          <w:numId w:val="3"/>
        </w:numPr>
        <w:ind w:left="2160" w:hanging="720"/>
        <w:jc w:val="both"/>
        <w:rPr>
          <w:rFonts w:cs="Times New Roman"/>
          <w:szCs w:val="24"/>
        </w:rPr>
      </w:pPr>
      <w:r>
        <w:rPr>
          <w:rFonts w:cs="Times New Roman"/>
          <w:szCs w:val="24"/>
        </w:rPr>
        <w:t>A</w:t>
      </w:r>
      <w:r w:rsidR="00F93616">
        <w:rPr>
          <w:rFonts w:cs="Times New Roman"/>
          <w:szCs w:val="24"/>
        </w:rPr>
        <w:t xml:space="preserve"> provision </w:t>
      </w:r>
      <w:r>
        <w:rPr>
          <w:rFonts w:cs="Times New Roman"/>
          <w:szCs w:val="24"/>
        </w:rPr>
        <w:t xml:space="preserve">on temporary and permanent modifications </w:t>
      </w:r>
      <w:r w:rsidR="00F93616">
        <w:rPr>
          <w:rFonts w:cs="Times New Roman"/>
          <w:szCs w:val="24"/>
        </w:rPr>
        <w:t xml:space="preserve">should not affect the </w:t>
      </w:r>
      <w:r w:rsidR="00DF30A5">
        <w:rPr>
          <w:rFonts w:cs="Times New Roman"/>
          <w:szCs w:val="24"/>
        </w:rPr>
        <w:t>road district</w:t>
      </w:r>
      <w:r w:rsidR="00F93616">
        <w:rPr>
          <w:rFonts w:cs="Times New Roman"/>
          <w:szCs w:val="24"/>
        </w:rPr>
        <w:t>’s daily routine maintenance duties</w:t>
      </w:r>
      <w:r w:rsidR="001116E9">
        <w:rPr>
          <w:rFonts w:cs="Times New Roman"/>
          <w:szCs w:val="24"/>
        </w:rPr>
        <w:t xml:space="preserve"> or the duty of those responsible for </w:t>
      </w:r>
      <w:r w:rsidR="00AD5CAD">
        <w:rPr>
          <w:rFonts w:cs="Times New Roman"/>
          <w:szCs w:val="24"/>
        </w:rPr>
        <w:t>the construction project</w:t>
      </w:r>
      <w:r w:rsidR="001116E9">
        <w:rPr>
          <w:rFonts w:cs="Times New Roman"/>
          <w:szCs w:val="24"/>
        </w:rPr>
        <w:t xml:space="preserve"> to make temporary repairs to </w:t>
      </w:r>
      <w:r w:rsidR="00DF30A5">
        <w:rPr>
          <w:rFonts w:cs="Times New Roman"/>
          <w:szCs w:val="24"/>
        </w:rPr>
        <w:t>road district</w:t>
      </w:r>
      <w:r w:rsidR="001116E9">
        <w:rPr>
          <w:rFonts w:cs="Times New Roman"/>
          <w:szCs w:val="24"/>
        </w:rPr>
        <w:t xml:space="preserve"> infrastructure damaged by their activities</w:t>
      </w:r>
      <w:r w:rsidR="005F3B2C">
        <w:rPr>
          <w:rFonts w:cs="Times New Roman"/>
          <w:szCs w:val="24"/>
        </w:rPr>
        <w:t>.</w:t>
      </w:r>
    </w:p>
    <w:p w14:paraId="59AD342F" w14:textId="77777777" w:rsidR="005F3B2C" w:rsidRPr="005F3B2C" w:rsidRDefault="005F3B2C" w:rsidP="00DF30A5">
      <w:pPr>
        <w:pStyle w:val="ListParagraph"/>
        <w:ind w:left="2160" w:hanging="720"/>
        <w:jc w:val="both"/>
        <w:rPr>
          <w:rFonts w:cs="Times New Roman"/>
          <w:szCs w:val="24"/>
        </w:rPr>
      </w:pPr>
    </w:p>
    <w:p w14:paraId="4747C2A0" w14:textId="205F8B55" w:rsidR="00430D78" w:rsidRPr="00AD5CAD" w:rsidRDefault="005F3B2C" w:rsidP="00DF30A5">
      <w:pPr>
        <w:pStyle w:val="ListParagraph"/>
        <w:numPr>
          <w:ilvl w:val="1"/>
          <w:numId w:val="3"/>
        </w:numPr>
        <w:ind w:left="2160" w:hanging="720"/>
        <w:jc w:val="both"/>
        <w:rPr>
          <w:rFonts w:cs="Times New Roman"/>
          <w:szCs w:val="24"/>
        </w:rPr>
      </w:pPr>
      <w:r>
        <w:rPr>
          <w:rFonts w:cs="Times New Roman"/>
          <w:szCs w:val="24"/>
        </w:rPr>
        <w:t xml:space="preserve">The </w:t>
      </w:r>
      <w:r w:rsidR="00DF30A5">
        <w:rPr>
          <w:rFonts w:cs="Times New Roman"/>
          <w:szCs w:val="24"/>
        </w:rPr>
        <w:t>road district</w:t>
      </w:r>
      <w:r>
        <w:rPr>
          <w:rFonts w:cs="Times New Roman"/>
          <w:szCs w:val="24"/>
        </w:rPr>
        <w:t xml:space="preserve"> may insert a provision in its RUA that allows it either</w:t>
      </w:r>
      <w:r w:rsidR="006A56F3">
        <w:rPr>
          <w:rFonts w:cs="Times New Roman"/>
          <w:szCs w:val="24"/>
        </w:rPr>
        <w:t>: 1)</w:t>
      </w:r>
      <w:r>
        <w:rPr>
          <w:rFonts w:cs="Times New Roman"/>
          <w:szCs w:val="24"/>
        </w:rPr>
        <w:t xml:space="preserve"> to allow any improvements </w:t>
      </w:r>
      <w:r w:rsidR="001116E9">
        <w:rPr>
          <w:rFonts w:cs="Times New Roman"/>
          <w:szCs w:val="24"/>
        </w:rPr>
        <w:t xml:space="preserve">made </w:t>
      </w:r>
      <w:r>
        <w:rPr>
          <w:rFonts w:cs="Times New Roman"/>
          <w:szCs w:val="24"/>
        </w:rPr>
        <w:t>to remain</w:t>
      </w:r>
      <w:r w:rsidR="00AD5CAD">
        <w:rPr>
          <w:rFonts w:cs="Times New Roman"/>
          <w:szCs w:val="24"/>
        </w:rPr>
        <w:t xml:space="preserve"> after the project’s completion</w:t>
      </w:r>
      <w:r w:rsidR="006A56F3" w:rsidRPr="00AD5CAD">
        <w:rPr>
          <w:rFonts w:cs="Times New Roman"/>
          <w:szCs w:val="24"/>
        </w:rPr>
        <w:t>;</w:t>
      </w:r>
      <w:r w:rsidRPr="00AD5CAD">
        <w:rPr>
          <w:rFonts w:cs="Times New Roman"/>
          <w:szCs w:val="24"/>
        </w:rPr>
        <w:t xml:space="preserve"> or </w:t>
      </w:r>
      <w:r w:rsidR="006A56F3" w:rsidRPr="00AD5CAD">
        <w:rPr>
          <w:rFonts w:cs="Times New Roman"/>
          <w:szCs w:val="24"/>
        </w:rPr>
        <w:t xml:space="preserve">2) </w:t>
      </w:r>
      <w:r w:rsidRPr="00AD5CAD">
        <w:rPr>
          <w:rFonts w:cs="Times New Roman"/>
          <w:szCs w:val="24"/>
        </w:rPr>
        <w:t xml:space="preserve">which would force the </w:t>
      </w:r>
      <w:r w:rsidR="00EC6FB0">
        <w:rPr>
          <w:rFonts w:cs="Times New Roman"/>
          <w:szCs w:val="24"/>
        </w:rPr>
        <w:t>project participants</w:t>
      </w:r>
      <w:r w:rsidRPr="00AD5CAD">
        <w:rPr>
          <w:rFonts w:cs="Times New Roman"/>
          <w:szCs w:val="24"/>
        </w:rPr>
        <w:t xml:space="preserve"> to remove it following the </w:t>
      </w:r>
      <w:r w:rsidRPr="00AD5CAD">
        <w:rPr>
          <w:rFonts w:cs="Times New Roman"/>
          <w:szCs w:val="24"/>
        </w:rPr>
        <w:lastRenderedPageBreak/>
        <w:t xml:space="preserve">completion of the project </w:t>
      </w:r>
      <w:r w:rsidR="00EC6FB0">
        <w:rPr>
          <w:rFonts w:cs="Times New Roman"/>
          <w:szCs w:val="24"/>
        </w:rPr>
        <w:t>such</w:t>
      </w:r>
      <w:r w:rsidRPr="00AD5CAD">
        <w:rPr>
          <w:rFonts w:cs="Times New Roman"/>
          <w:szCs w:val="24"/>
        </w:rPr>
        <w:t xml:space="preserve"> that the property is returned to its </w:t>
      </w:r>
      <w:r w:rsidR="001116E9" w:rsidRPr="00AD5CAD">
        <w:rPr>
          <w:rFonts w:cs="Times New Roman"/>
          <w:szCs w:val="24"/>
        </w:rPr>
        <w:t>pre</w:t>
      </w:r>
      <w:r w:rsidRPr="00AD5CAD">
        <w:rPr>
          <w:rFonts w:cs="Times New Roman"/>
          <w:szCs w:val="24"/>
        </w:rPr>
        <w:t>-construction state</w:t>
      </w:r>
      <w:r w:rsidR="001116E9" w:rsidRPr="00AD5CAD">
        <w:rPr>
          <w:rFonts w:cs="Times New Roman"/>
          <w:szCs w:val="24"/>
        </w:rPr>
        <w:t xml:space="preserve">. </w:t>
      </w:r>
    </w:p>
    <w:p w14:paraId="6965514A" w14:textId="77777777" w:rsidR="00DD31FE" w:rsidRDefault="00DD31FE" w:rsidP="00DF30A5">
      <w:pPr>
        <w:pStyle w:val="ListParagraph"/>
        <w:jc w:val="both"/>
        <w:rPr>
          <w:rFonts w:cs="Times New Roman"/>
          <w:szCs w:val="24"/>
        </w:rPr>
      </w:pPr>
    </w:p>
    <w:p w14:paraId="2DA972E8" w14:textId="42B4EDD1" w:rsidR="000111D0" w:rsidRDefault="007B2AD7" w:rsidP="00DF30A5">
      <w:pPr>
        <w:pStyle w:val="ListParagraph"/>
        <w:numPr>
          <w:ilvl w:val="0"/>
          <w:numId w:val="3"/>
        </w:numPr>
        <w:ind w:left="1440" w:hanging="720"/>
        <w:jc w:val="both"/>
        <w:rPr>
          <w:rFonts w:cs="Times New Roman"/>
          <w:szCs w:val="24"/>
        </w:rPr>
      </w:pPr>
      <w:r>
        <w:rPr>
          <w:rFonts w:cs="Times New Roman"/>
          <w:szCs w:val="24"/>
        </w:rPr>
        <w:t xml:space="preserve">Notwithstanding any other provisions in the RUA covering repair work, the </w:t>
      </w:r>
      <w:r w:rsidR="00DF30A5">
        <w:rPr>
          <w:rFonts w:cs="Times New Roman"/>
          <w:szCs w:val="24"/>
        </w:rPr>
        <w:t>road district</w:t>
      </w:r>
      <w:r>
        <w:rPr>
          <w:rFonts w:cs="Times New Roman"/>
          <w:szCs w:val="24"/>
        </w:rPr>
        <w:t xml:space="preserve"> should reserve the right to conduct any emergency repairs to roadways which it believes are necessary for the safety of the motoring public. Such damage and repair work should be well documented </w:t>
      </w:r>
      <w:r w:rsidR="00AD5F25">
        <w:rPr>
          <w:rFonts w:cs="Times New Roman"/>
          <w:szCs w:val="24"/>
        </w:rPr>
        <w:t xml:space="preserve">and photographed </w:t>
      </w:r>
      <w:r>
        <w:rPr>
          <w:rFonts w:cs="Times New Roman"/>
          <w:szCs w:val="24"/>
        </w:rPr>
        <w:t>and a subject of the final negotiations of the parties on costs</w:t>
      </w:r>
      <w:r w:rsidR="006A56F3">
        <w:rPr>
          <w:rFonts w:cs="Times New Roman"/>
          <w:szCs w:val="24"/>
        </w:rPr>
        <w:t xml:space="preserve"> owed to the </w:t>
      </w:r>
      <w:r w:rsidR="00DF30A5">
        <w:rPr>
          <w:rFonts w:cs="Times New Roman"/>
          <w:szCs w:val="24"/>
        </w:rPr>
        <w:t>road district</w:t>
      </w:r>
      <w:r>
        <w:rPr>
          <w:rFonts w:cs="Times New Roman"/>
          <w:szCs w:val="24"/>
        </w:rPr>
        <w:t xml:space="preserve">. </w:t>
      </w:r>
    </w:p>
    <w:p w14:paraId="4793FA1E" w14:textId="77777777" w:rsidR="00283C09" w:rsidRDefault="00283C09" w:rsidP="00DF30A5">
      <w:pPr>
        <w:pStyle w:val="ListParagraph"/>
        <w:ind w:left="1440"/>
        <w:jc w:val="both"/>
        <w:rPr>
          <w:rFonts w:cs="Times New Roman"/>
          <w:szCs w:val="24"/>
        </w:rPr>
      </w:pPr>
    </w:p>
    <w:p w14:paraId="64792C90" w14:textId="38207BA3" w:rsidR="004C2D72" w:rsidRDefault="004C2D72" w:rsidP="00DF30A5">
      <w:pPr>
        <w:pStyle w:val="ListParagraph"/>
        <w:numPr>
          <w:ilvl w:val="1"/>
          <w:numId w:val="3"/>
        </w:numPr>
        <w:ind w:left="2160" w:hanging="720"/>
        <w:jc w:val="both"/>
        <w:rPr>
          <w:rFonts w:cs="Times New Roman"/>
          <w:szCs w:val="24"/>
        </w:rPr>
      </w:pPr>
      <w:r>
        <w:rPr>
          <w:rFonts w:cs="Times New Roman"/>
          <w:szCs w:val="24"/>
        </w:rPr>
        <w:t xml:space="preserve">Even if the damage to the </w:t>
      </w:r>
      <w:r w:rsidR="00DF30A5">
        <w:rPr>
          <w:rFonts w:cs="Times New Roman"/>
          <w:szCs w:val="24"/>
        </w:rPr>
        <w:t>road district</w:t>
      </w:r>
      <w:r>
        <w:rPr>
          <w:rFonts w:cs="Times New Roman"/>
          <w:szCs w:val="24"/>
        </w:rPr>
        <w:t xml:space="preserve">’s roads is attributable to the parties involved in the construction project, the </w:t>
      </w:r>
      <w:r w:rsidR="00DF30A5">
        <w:rPr>
          <w:rFonts w:cs="Times New Roman"/>
          <w:szCs w:val="24"/>
        </w:rPr>
        <w:t>road district</w:t>
      </w:r>
      <w:r>
        <w:rPr>
          <w:rFonts w:cs="Times New Roman"/>
          <w:szCs w:val="24"/>
        </w:rPr>
        <w:t xml:space="preserve">’s remains potentially liable for injuries or damage to property of the motoring public </w:t>
      </w:r>
      <w:r w:rsidR="00EC6FB0">
        <w:rPr>
          <w:rFonts w:cs="Times New Roman"/>
          <w:szCs w:val="24"/>
        </w:rPr>
        <w:t>which result</w:t>
      </w:r>
      <w:r>
        <w:rPr>
          <w:rFonts w:cs="Times New Roman"/>
          <w:szCs w:val="24"/>
        </w:rPr>
        <w:t xml:space="preserve"> </w:t>
      </w:r>
      <w:r w:rsidR="00EC6FB0">
        <w:rPr>
          <w:rFonts w:cs="Times New Roman"/>
          <w:szCs w:val="24"/>
        </w:rPr>
        <w:t>from</w:t>
      </w:r>
      <w:r>
        <w:rPr>
          <w:rFonts w:cs="Times New Roman"/>
          <w:szCs w:val="24"/>
        </w:rPr>
        <w:t xml:space="preserve"> the conditions of the road</w:t>
      </w:r>
      <w:r w:rsidR="00EC6FB0">
        <w:rPr>
          <w:rFonts w:cs="Times New Roman"/>
          <w:szCs w:val="24"/>
        </w:rPr>
        <w:t xml:space="preserve">s under the </w:t>
      </w:r>
      <w:r w:rsidR="00DF30A5">
        <w:rPr>
          <w:rFonts w:cs="Times New Roman"/>
          <w:szCs w:val="24"/>
        </w:rPr>
        <w:t>road district</w:t>
      </w:r>
      <w:r w:rsidR="00EC6FB0">
        <w:rPr>
          <w:rFonts w:cs="Times New Roman"/>
          <w:szCs w:val="24"/>
        </w:rPr>
        <w:t>’s control</w:t>
      </w:r>
      <w:r>
        <w:rPr>
          <w:rFonts w:cs="Times New Roman"/>
          <w:szCs w:val="24"/>
        </w:rPr>
        <w:t xml:space="preserve">. Thus, </w:t>
      </w:r>
      <w:r w:rsidR="00283C09">
        <w:rPr>
          <w:rFonts w:cs="Times New Roman"/>
          <w:szCs w:val="24"/>
        </w:rPr>
        <w:t>a</w:t>
      </w:r>
      <w:r>
        <w:rPr>
          <w:rFonts w:cs="Times New Roman"/>
          <w:szCs w:val="24"/>
        </w:rPr>
        <w:t xml:space="preserve"> dispute </w:t>
      </w:r>
      <w:r w:rsidR="00283C09">
        <w:rPr>
          <w:rFonts w:cs="Times New Roman"/>
          <w:szCs w:val="24"/>
        </w:rPr>
        <w:t xml:space="preserve">between the </w:t>
      </w:r>
      <w:r w:rsidR="00DF30A5">
        <w:rPr>
          <w:rFonts w:cs="Times New Roman"/>
          <w:szCs w:val="24"/>
        </w:rPr>
        <w:t>road district</w:t>
      </w:r>
      <w:r w:rsidR="00283C09">
        <w:rPr>
          <w:rFonts w:cs="Times New Roman"/>
          <w:szCs w:val="24"/>
        </w:rPr>
        <w:t xml:space="preserve"> and the </w:t>
      </w:r>
      <w:r w:rsidR="00EC6FB0">
        <w:rPr>
          <w:rFonts w:cs="Times New Roman"/>
          <w:szCs w:val="24"/>
        </w:rPr>
        <w:t>project participants</w:t>
      </w:r>
      <w:r w:rsidR="00283C09">
        <w:rPr>
          <w:rFonts w:cs="Times New Roman"/>
          <w:szCs w:val="24"/>
        </w:rPr>
        <w:t xml:space="preserve"> should not serve as an excuse for a damaged piece of roadway to remain unrepaired.</w:t>
      </w:r>
    </w:p>
    <w:p w14:paraId="2D4CABDA" w14:textId="77777777" w:rsidR="00AD5F25" w:rsidRDefault="00AD5F25" w:rsidP="00DF30A5">
      <w:pPr>
        <w:pStyle w:val="ListParagraph"/>
        <w:ind w:left="2160" w:hanging="720"/>
        <w:jc w:val="both"/>
        <w:rPr>
          <w:rFonts w:cs="Times New Roman"/>
          <w:szCs w:val="24"/>
        </w:rPr>
      </w:pPr>
    </w:p>
    <w:p w14:paraId="42136A76" w14:textId="2501452D" w:rsidR="00F30E51" w:rsidRPr="00F30E51" w:rsidRDefault="00AD5F25" w:rsidP="00DF30A5">
      <w:pPr>
        <w:pStyle w:val="ListParagraph"/>
        <w:numPr>
          <w:ilvl w:val="1"/>
          <w:numId w:val="3"/>
        </w:numPr>
        <w:ind w:left="2160" w:hanging="720"/>
        <w:jc w:val="both"/>
        <w:rPr>
          <w:rFonts w:cs="Times New Roman"/>
          <w:szCs w:val="24"/>
        </w:rPr>
      </w:pPr>
      <w:r>
        <w:rPr>
          <w:rFonts w:cs="Times New Roman"/>
          <w:szCs w:val="24"/>
        </w:rPr>
        <w:t xml:space="preserve">Rather, the </w:t>
      </w:r>
      <w:r w:rsidR="00DF30A5">
        <w:rPr>
          <w:rFonts w:cs="Times New Roman"/>
          <w:szCs w:val="24"/>
        </w:rPr>
        <w:t>road district</w:t>
      </w:r>
      <w:r>
        <w:rPr>
          <w:rFonts w:cs="Times New Roman"/>
          <w:szCs w:val="24"/>
        </w:rPr>
        <w:t xml:space="preserve"> should make any necessary repairs and </w:t>
      </w:r>
      <w:r w:rsidR="008E3FC9">
        <w:rPr>
          <w:rFonts w:cs="Times New Roman"/>
          <w:szCs w:val="24"/>
        </w:rPr>
        <w:t xml:space="preserve">negotiate for reimbursement at a later date. The cost of the repairs, even if never paid for by the responsible parties, would likely pale in comparison to the cost of a major liability event attributable to conditions </w:t>
      </w:r>
      <w:r w:rsidR="00EC6FB0">
        <w:rPr>
          <w:rFonts w:cs="Times New Roman"/>
          <w:szCs w:val="24"/>
        </w:rPr>
        <w:t xml:space="preserve">on a </w:t>
      </w:r>
      <w:r w:rsidR="00DF30A5">
        <w:rPr>
          <w:rFonts w:cs="Times New Roman"/>
          <w:szCs w:val="24"/>
        </w:rPr>
        <w:t>road district</w:t>
      </w:r>
      <w:r w:rsidR="008E3FC9">
        <w:rPr>
          <w:rFonts w:cs="Times New Roman"/>
          <w:szCs w:val="24"/>
        </w:rPr>
        <w:t xml:space="preserve"> roadway. </w:t>
      </w:r>
    </w:p>
    <w:p w14:paraId="464CD934" w14:textId="77777777" w:rsidR="00F30E51" w:rsidRDefault="00F30E51" w:rsidP="00DF30A5">
      <w:pPr>
        <w:pStyle w:val="ListParagraph"/>
        <w:jc w:val="both"/>
        <w:rPr>
          <w:rFonts w:cs="Times New Roman"/>
          <w:szCs w:val="24"/>
        </w:rPr>
      </w:pPr>
    </w:p>
    <w:p w14:paraId="45A55886" w14:textId="3E2CD626" w:rsidR="00F30E51" w:rsidRDefault="008167D2" w:rsidP="00DF30A5">
      <w:pPr>
        <w:pStyle w:val="ListParagraph"/>
        <w:numPr>
          <w:ilvl w:val="0"/>
          <w:numId w:val="3"/>
        </w:numPr>
        <w:ind w:left="1440" w:hanging="720"/>
        <w:jc w:val="both"/>
        <w:rPr>
          <w:rFonts w:cs="Times New Roman"/>
          <w:szCs w:val="24"/>
        </w:rPr>
      </w:pPr>
      <w:r w:rsidRPr="00D06A46">
        <w:rPr>
          <w:rFonts w:cs="Times New Roman"/>
          <w:szCs w:val="24"/>
        </w:rPr>
        <w:t xml:space="preserve">Any </w:t>
      </w:r>
      <w:r w:rsidR="00504F3D" w:rsidRPr="00D06A46">
        <w:rPr>
          <w:rFonts w:cs="Times New Roman"/>
          <w:szCs w:val="24"/>
        </w:rPr>
        <w:t xml:space="preserve">traffic control measures conducted by the </w:t>
      </w:r>
      <w:r w:rsidR="00F30E51">
        <w:rPr>
          <w:rFonts w:cs="Times New Roman"/>
          <w:szCs w:val="24"/>
        </w:rPr>
        <w:t xml:space="preserve">construction project participants </w:t>
      </w:r>
      <w:r w:rsidR="00504F3D" w:rsidRPr="00D06A46">
        <w:rPr>
          <w:rFonts w:cs="Times New Roman"/>
          <w:szCs w:val="24"/>
        </w:rPr>
        <w:t>must be in conform</w:t>
      </w:r>
      <w:r w:rsidR="00F30E51">
        <w:rPr>
          <w:rFonts w:cs="Times New Roman"/>
          <w:szCs w:val="24"/>
        </w:rPr>
        <w:t>ity</w:t>
      </w:r>
      <w:r w:rsidR="00504F3D" w:rsidRPr="00D06A46">
        <w:rPr>
          <w:rFonts w:cs="Times New Roman"/>
          <w:szCs w:val="24"/>
        </w:rPr>
        <w:t xml:space="preserve"> with applicable </w:t>
      </w:r>
      <w:r w:rsidR="00F30E51">
        <w:rPr>
          <w:rFonts w:cs="Times New Roman"/>
          <w:szCs w:val="24"/>
        </w:rPr>
        <w:t>IDOT</w:t>
      </w:r>
      <w:r w:rsidR="00504F3D" w:rsidRPr="00D06A46">
        <w:rPr>
          <w:rFonts w:cs="Times New Roman"/>
          <w:szCs w:val="24"/>
        </w:rPr>
        <w:t xml:space="preserve"> standards, and project</w:t>
      </w:r>
      <w:r w:rsidR="00F30E51">
        <w:rPr>
          <w:rFonts w:cs="Times New Roman"/>
          <w:szCs w:val="24"/>
        </w:rPr>
        <w:t xml:space="preserve"> or work zone-</w:t>
      </w:r>
      <w:r w:rsidR="00504F3D" w:rsidRPr="00D06A46">
        <w:rPr>
          <w:rFonts w:cs="Times New Roman"/>
          <w:szCs w:val="24"/>
        </w:rPr>
        <w:t xml:space="preserve">related signage </w:t>
      </w:r>
      <w:r w:rsidR="00F30E51">
        <w:rPr>
          <w:rFonts w:cs="Times New Roman"/>
          <w:szCs w:val="24"/>
        </w:rPr>
        <w:t>should</w:t>
      </w:r>
      <w:r w:rsidR="00504F3D" w:rsidRPr="00D06A46">
        <w:rPr>
          <w:rFonts w:cs="Times New Roman"/>
          <w:szCs w:val="24"/>
        </w:rPr>
        <w:t xml:space="preserve"> also be the responsibility of t</w:t>
      </w:r>
      <w:r w:rsidR="00F30E51">
        <w:rPr>
          <w:rFonts w:cs="Times New Roman"/>
          <w:szCs w:val="24"/>
        </w:rPr>
        <w:t xml:space="preserve">hose </w:t>
      </w:r>
      <w:r w:rsidR="00EC6FB0">
        <w:rPr>
          <w:rFonts w:cs="Times New Roman"/>
          <w:szCs w:val="24"/>
        </w:rPr>
        <w:t>responsible for</w:t>
      </w:r>
      <w:r w:rsidR="00F30E51">
        <w:rPr>
          <w:rFonts w:cs="Times New Roman"/>
          <w:szCs w:val="24"/>
        </w:rPr>
        <w:t xml:space="preserve"> the construction project</w:t>
      </w:r>
      <w:r w:rsidR="00504F3D" w:rsidRPr="00D06A46">
        <w:rPr>
          <w:rFonts w:cs="Times New Roman"/>
          <w:szCs w:val="24"/>
        </w:rPr>
        <w:t>.</w:t>
      </w:r>
    </w:p>
    <w:p w14:paraId="0F496F74" w14:textId="77777777" w:rsidR="004135DD" w:rsidRDefault="004135DD" w:rsidP="00DF30A5">
      <w:pPr>
        <w:pStyle w:val="ListParagraph"/>
        <w:ind w:left="1440"/>
        <w:jc w:val="both"/>
        <w:rPr>
          <w:rFonts w:cs="Times New Roman"/>
          <w:szCs w:val="24"/>
        </w:rPr>
      </w:pPr>
    </w:p>
    <w:p w14:paraId="57E7EF34" w14:textId="6EEC855B" w:rsidR="00430D78" w:rsidRDefault="004135DD" w:rsidP="00DF30A5">
      <w:pPr>
        <w:pStyle w:val="ListParagraph"/>
        <w:numPr>
          <w:ilvl w:val="1"/>
          <w:numId w:val="3"/>
        </w:numPr>
        <w:ind w:left="2160" w:hanging="720"/>
        <w:jc w:val="both"/>
        <w:rPr>
          <w:rFonts w:cs="Times New Roman"/>
          <w:szCs w:val="24"/>
        </w:rPr>
      </w:pPr>
      <w:r>
        <w:rPr>
          <w:rFonts w:cs="Times New Roman"/>
          <w:szCs w:val="24"/>
        </w:rPr>
        <w:t>The Manual on Uniform Traffic Control Devices and IDOT’s Supplement to the Manual on Uniform Traffic Control Devices supply the standard for work zone signage and road closures. 625 ILCS 5/11-301 and 5/11-304.</w:t>
      </w:r>
    </w:p>
    <w:p w14:paraId="02C4EF78" w14:textId="77777777" w:rsidR="00DD31FE" w:rsidRPr="00DD31FE" w:rsidRDefault="00DD31FE" w:rsidP="00DF30A5">
      <w:pPr>
        <w:pStyle w:val="ListParagraph"/>
        <w:ind w:left="1440"/>
        <w:jc w:val="both"/>
        <w:rPr>
          <w:rFonts w:cs="Times New Roman"/>
          <w:szCs w:val="24"/>
        </w:rPr>
      </w:pPr>
    </w:p>
    <w:p w14:paraId="62FA3125" w14:textId="447FD48F" w:rsidR="00D06A46" w:rsidRDefault="004135DD" w:rsidP="00DF30A5">
      <w:pPr>
        <w:pStyle w:val="ListParagraph"/>
        <w:numPr>
          <w:ilvl w:val="0"/>
          <w:numId w:val="3"/>
        </w:numPr>
        <w:ind w:left="1440" w:hanging="720"/>
        <w:jc w:val="both"/>
        <w:rPr>
          <w:rFonts w:cs="Times New Roman"/>
          <w:szCs w:val="24"/>
        </w:rPr>
      </w:pPr>
      <w:r>
        <w:rPr>
          <w:rFonts w:cs="Times New Roman"/>
          <w:szCs w:val="24"/>
        </w:rPr>
        <w:t>T</w:t>
      </w:r>
      <w:r w:rsidR="00D06A46">
        <w:rPr>
          <w:rFonts w:cs="Times New Roman"/>
          <w:szCs w:val="24"/>
        </w:rPr>
        <w:t xml:space="preserve">he </w:t>
      </w:r>
      <w:r>
        <w:rPr>
          <w:rFonts w:cs="Times New Roman"/>
          <w:szCs w:val="24"/>
        </w:rPr>
        <w:t>project participants</w:t>
      </w:r>
      <w:r w:rsidR="00D06A46">
        <w:rPr>
          <w:rFonts w:cs="Times New Roman"/>
          <w:szCs w:val="24"/>
        </w:rPr>
        <w:t xml:space="preserve"> </w:t>
      </w:r>
      <w:r>
        <w:rPr>
          <w:rFonts w:cs="Times New Roman"/>
          <w:szCs w:val="24"/>
        </w:rPr>
        <w:t>should bear responsibility for</w:t>
      </w:r>
      <w:r w:rsidR="00D06A46">
        <w:rPr>
          <w:rFonts w:cs="Times New Roman"/>
          <w:szCs w:val="24"/>
        </w:rPr>
        <w:t xml:space="preserve"> clear</w:t>
      </w:r>
      <w:r>
        <w:rPr>
          <w:rFonts w:cs="Times New Roman"/>
          <w:szCs w:val="24"/>
        </w:rPr>
        <w:t>ing</w:t>
      </w:r>
      <w:r w:rsidR="00D06A46">
        <w:rPr>
          <w:rFonts w:cs="Times New Roman"/>
          <w:szCs w:val="24"/>
        </w:rPr>
        <w:t xml:space="preserve"> any mud, garbage, or other obstructions attributable to the project from public roadways</w:t>
      </w:r>
      <w:r w:rsidR="00F36EC7">
        <w:rPr>
          <w:rFonts w:cs="Times New Roman"/>
          <w:szCs w:val="24"/>
        </w:rPr>
        <w:t>. The RUA might also include a section dealing with dust control</w:t>
      </w:r>
      <w:r>
        <w:rPr>
          <w:rFonts w:cs="Times New Roman"/>
          <w:szCs w:val="24"/>
        </w:rPr>
        <w:t xml:space="preserve"> if likely to become an issue</w:t>
      </w:r>
      <w:r w:rsidR="00F36EC7">
        <w:rPr>
          <w:rFonts w:cs="Times New Roman"/>
          <w:szCs w:val="24"/>
        </w:rPr>
        <w:t xml:space="preserve">. </w:t>
      </w:r>
    </w:p>
    <w:p w14:paraId="3D9EBCE3" w14:textId="77777777" w:rsidR="00430D78" w:rsidRDefault="00430D78" w:rsidP="00DF30A5">
      <w:pPr>
        <w:pStyle w:val="ListParagraph"/>
        <w:ind w:left="1440"/>
        <w:jc w:val="both"/>
        <w:rPr>
          <w:rFonts w:cs="Times New Roman"/>
          <w:szCs w:val="24"/>
        </w:rPr>
      </w:pPr>
    </w:p>
    <w:p w14:paraId="71A51952" w14:textId="3F0C6B79" w:rsidR="000111D0" w:rsidRDefault="004135DD" w:rsidP="00DF30A5">
      <w:pPr>
        <w:pStyle w:val="ListParagraph"/>
        <w:numPr>
          <w:ilvl w:val="1"/>
          <w:numId w:val="3"/>
        </w:numPr>
        <w:ind w:left="2160" w:hanging="720"/>
        <w:jc w:val="both"/>
        <w:rPr>
          <w:rFonts w:cs="Times New Roman"/>
          <w:szCs w:val="24"/>
        </w:rPr>
      </w:pPr>
      <w:r>
        <w:rPr>
          <w:rFonts w:cs="Times New Roman"/>
          <w:szCs w:val="24"/>
        </w:rPr>
        <w:t xml:space="preserve">Mud, garbage, and other roadway obstructions increase the potential danger </w:t>
      </w:r>
      <w:r w:rsidR="00430D78">
        <w:rPr>
          <w:rFonts w:cs="Times New Roman"/>
          <w:szCs w:val="24"/>
        </w:rPr>
        <w:t>to the motoring public</w:t>
      </w:r>
      <w:r w:rsidR="00EC6FB0">
        <w:rPr>
          <w:rFonts w:cs="Times New Roman"/>
          <w:szCs w:val="24"/>
        </w:rPr>
        <w:t xml:space="preserve"> of traveling on </w:t>
      </w:r>
      <w:r w:rsidR="00DF30A5">
        <w:rPr>
          <w:rFonts w:cs="Times New Roman"/>
          <w:szCs w:val="24"/>
        </w:rPr>
        <w:t>road district</w:t>
      </w:r>
      <w:r w:rsidR="00EC6FB0">
        <w:rPr>
          <w:rFonts w:cs="Times New Roman"/>
          <w:szCs w:val="24"/>
        </w:rPr>
        <w:t xml:space="preserve"> roads</w:t>
      </w:r>
      <w:r w:rsidR="00430D78">
        <w:rPr>
          <w:rFonts w:cs="Times New Roman"/>
          <w:szCs w:val="24"/>
        </w:rPr>
        <w:t xml:space="preserve">, and hence increase </w:t>
      </w:r>
      <w:r w:rsidR="00DF30A5">
        <w:rPr>
          <w:rFonts w:cs="Times New Roman"/>
          <w:szCs w:val="24"/>
        </w:rPr>
        <w:t>road district</w:t>
      </w:r>
      <w:r w:rsidR="00430D78">
        <w:rPr>
          <w:rFonts w:cs="Times New Roman"/>
          <w:szCs w:val="24"/>
        </w:rPr>
        <w:t>s</w:t>
      </w:r>
      <w:r w:rsidR="00EC6FB0">
        <w:rPr>
          <w:rFonts w:cs="Times New Roman"/>
          <w:szCs w:val="24"/>
        </w:rPr>
        <w:t>’</w:t>
      </w:r>
      <w:r w:rsidR="00430D78">
        <w:rPr>
          <w:rFonts w:cs="Times New Roman"/>
          <w:szCs w:val="24"/>
        </w:rPr>
        <w:t xml:space="preserve"> potential liability </w:t>
      </w:r>
      <w:r w:rsidR="00EC6FB0">
        <w:rPr>
          <w:rFonts w:cs="Times New Roman"/>
          <w:szCs w:val="24"/>
        </w:rPr>
        <w:t>attributable to unsafe roadway conditions</w:t>
      </w:r>
      <w:r w:rsidR="00430D78">
        <w:rPr>
          <w:rFonts w:cs="Times New Roman"/>
          <w:szCs w:val="24"/>
        </w:rPr>
        <w:t xml:space="preserve">. Especially in wet conditions, large construction projects can generate significant debris which might make it </w:t>
      </w:r>
      <w:r w:rsidR="00EC6FB0">
        <w:rPr>
          <w:rFonts w:cs="Times New Roman"/>
          <w:szCs w:val="24"/>
        </w:rPr>
        <w:t>onto</w:t>
      </w:r>
      <w:r w:rsidR="00430D78">
        <w:rPr>
          <w:rFonts w:cs="Times New Roman"/>
          <w:szCs w:val="24"/>
        </w:rPr>
        <w:t xml:space="preserve"> </w:t>
      </w:r>
      <w:r w:rsidR="00EC6FB0">
        <w:rPr>
          <w:rFonts w:cs="Times New Roman"/>
          <w:szCs w:val="24"/>
        </w:rPr>
        <w:t>roadways</w:t>
      </w:r>
      <w:r w:rsidR="00430D78">
        <w:rPr>
          <w:rFonts w:cs="Times New Roman"/>
          <w:szCs w:val="24"/>
        </w:rPr>
        <w:t xml:space="preserve">. It is only fair and eminently reasonable that those responsible for the projects generating such obstructions remove any such hazards. </w:t>
      </w:r>
    </w:p>
    <w:p w14:paraId="4551347B" w14:textId="77777777" w:rsidR="00DD31FE" w:rsidRPr="002E772D" w:rsidRDefault="00DD31FE" w:rsidP="00DF30A5">
      <w:pPr>
        <w:pStyle w:val="ListParagraph"/>
        <w:jc w:val="both"/>
        <w:rPr>
          <w:rFonts w:cs="Times New Roman"/>
          <w:szCs w:val="24"/>
        </w:rPr>
      </w:pPr>
    </w:p>
    <w:p w14:paraId="1B9060D9" w14:textId="6E946D80" w:rsidR="00A559A4" w:rsidRPr="00A559A4" w:rsidRDefault="00DD31FE" w:rsidP="00DF30A5">
      <w:pPr>
        <w:pStyle w:val="ListParagraph"/>
        <w:numPr>
          <w:ilvl w:val="0"/>
          <w:numId w:val="3"/>
        </w:numPr>
        <w:ind w:left="1440" w:hanging="720"/>
        <w:jc w:val="both"/>
        <w:rPr>
          <w:rFonts w:cs="Times New Roman"/>
          <w:szCs w:val="24"/>
        </w:rPr>
      </w:pPr>
      <w:r>
        <w:rPr>
          <w:rFonts w:cs="Times New Roman"/>
          <w:szCs w:val="24"/>
        </w:rPr>
        <w:t>As referenced above, f</w:t>
      </w:r>
      <w:r w:rsidR="00504F3D" w:rsidRPr="00D06A46">
        <w:rPr>
          <w:rFonts w:cs="Times New Roman"/>
          <w:szCs w:val="24"/>
        </w:rPr>
        <w:t xml:space="preserve">ollowing </w:t>
      </w:r>
      <w:r>
        <w:rPr>
          <w:rFonts w:cs="Times New Roman"/>
          <w:szCs w:val="24"/>
        </w:rPr>
        <w:t>completion of the project</w:t>
      </w:r>
      <w:r w:rsidR="00504F3D" w:rsidRPr="00D06A46">
        <w:rPr>
          <w:rFonts w:cs="Times New Roman"/>
          <w:szCs w:val="24"/>
        </w:rPr>
        <w:t xml:space="preserve">, a </w:t>
      </w:r>
      <w:r w:rsidR="006408D1" w:rsidRPr="00D06A46">
        <w:rPr>
          <w:rFonts w:cs="Times New Roman"/>
          <w:szCs w:val="24"/>
        </w:rPr>
        <w:t xml:space="preserve">final inspection </w:t>
      </w:r>
      <w:r w:rsidR="008E1A1D" w:rsidRPr="00D06A46">
        <w:rPr>
          <w:rFonts w:cs="Times New Roman"/>
          <w:szCs w:val="24"/>
        </w:rPr>
        <w:t>of the road</w:t>
      </w:r>
      <w:r w:rsidR="00825962">
        <w:rPr>
          <w:rFonts w:cs="Times New Roman"/>
          <w:szCs w:val="24"/>
        </w:rPr>
        <w:t>ways, crossings, etc.</w:t>
      </w:r>
      <w:r w:rsidR="008E1A1D" w:rsidRPr="00D06A46">
        <w:rPr>
          <w:rFonts w:cs="Times New Roman"/>
          <w:szCs w:val="24"/>
        </w:rPr>
        <w:t xml:space="preserve"> used by the </w:t>
      </w:r>
      <w:r>
        <w:rPr>
          <w:rFonts w:cs="Times New Roman"/>
          <w:szCs w:val="24"/>
        </w:rPr>
        <w:t>project participant</w:t>
      </w:r>
      <w:r w:rsidR="00EC6FB0">
        <w:rPr>
          <w:rFonts w:cs="Times New Roman"/>
          <w:szCs w:val="24"/>
        </w:rPr>
        <w:t>s</w:t>
      </w:r>
      <w:r w:rsidR="008E1A1D" w:rsidRPr="00D06A46">
        <w:rPr>
          <w:rFonts w:cs="Times New Roman"/>
          <w:szCs w:val="24"/>
        </w:rPr>
        <w:t xml:space="preserve"> should be conducted</w:t>
      </w:r>
      <w:r>
        <w:rPr>
          <w:rFonts w:cs="Times New Roman"/>
          <w:szCs w:val="24"/>
        </w:rPr>
        <w:t xml:space="preserve"> by an independent, third-party contractor using the same methodology as that used in </w:t>
      </w:r>
      <w:r>
        <w:rPr>
          <w:rFonts w:cs="Times New Roman"/>
          <w:szCs w:val="24"/>
        </w:rPr>
        <w:lastRenderedPageBreak/>
        <w:t>the pre-construction survey,</w:t>
      </w:r>
      <w:r w:rsidR="008E1A1D" w:rsidRPr="00D06A46">
        <w:rPr>
          <w:rFonts w:cs="Times New Roman"/>
          <w:szCs w:val="24"/>
        </w:rPr>
        <w:t xml:space="preserve"> and a final report issued </w:t>
      </w:r>
      <w:r>
        <w:rPr>
          <w:rFonts w:cs="Times New Roman"/>
          <w:szCs w:val="24"/>
        </w:rPr>
        <w:t>concerning the extent of damage</w:t>
      </w:r>
      <w:r w:rsidR="00EC6FB0">
        <w:rPr>
          <w:rFonts w:cs="Times New Roman"/>
          <w:szCs w:val="24"/>
        </w:rPr>
        <w:t xml:space="preserve">/ necessary repairs </w:t>
      </w:r>
      <w:r>
        <w:rPr>
          <w:rFonts w:cs="Times New Roman"/>
          <w:szCs w:val="24"/>
        </w:rPr>
        <w:t>attributable to the project</w:t>
      </w:r>
      <w:r w:rsidR="008E1A1D" w:rsidRPr="00D06A46">
        <w:rPr>
          <w:rFonts w:cs="Times New Roman"/>
          <w:szCs w:val="24"/>
        </w:rPr>
        <w:t xml:space="preserve">. </w:t>
      </w:r>
    </w:p>
    <w:p w14:paraId="6A6E28F3" w14:textId="77777777" w:rsidR="00233941" w:rsidRDefault="00233941" w:rsidP="00DF30A5">
      <w:pPr>
        <w:pStyle w:val="ListParagraph"/>
        <w:ind w:left="1440"/>
        <w:jc w:val="both"/>
        <w:rPr>
          <w:rFonts w:cs="Times New Roman"/>
          <w:szCs w:val="24"/>
        </w:rPr>
      </w:pPr>
    </w:p>
    <w:p w14:paraId="1EDA8B2F" w14:textId="0F483777" w:rsidR="00504F3D" w:rsidRDefault="008E1A1D" w:rsidP="00DF30A5">
      <w:pPr>
        <w:pStyle w:val="ListParagraph"/>
        <w:numPr>
          <w:ilvl w:val="1"/>
          <w:numId w:val="3"/>
        </w:numPr>
        <w:ind w:left="2160" w:hanging="720"/>
        <w:jc w:val="both"/>
        <w:rPr>
          <w:rFonts w:cs="Times New Roman"/>
          <w:szCs w:val="24"/>
        </w:rPr>
      </w:pPr>
      <w:r w:rsidRPr="00D06A46">
        <w:rPr>
          <w:rFonts w:cs="Times New Roman"/>
          <w:szCs w:val="24"/>
        </w:rPr>
        <w:t>T</w:t>
      </w:r>
      <w:r w:rsidRPr="00A559A4">
        <w:rPr>
          <w:rFonts w:cs="Times New Roman"/>
          <w:szCs w:val="24"/>
        </w:rPr>
        <w:t xml:space="preserve">o the extent </w:t>
      </w:r>
      <w:r w:rsidR="00C745D4">
        <w:rPr>
          <w:rFonts w:cs="Times New Roman"/>
          <w:szCs w:val="24"/>
        </w:rPr>
        <w:t>this independent</w:t>
      </w:r>
      <w:r w:rsidRPr="00A559A4">
        <w:rPr>
          <w:rFonts w:cs="Times New Roman"/>
          <w:szCs w:val="24"/>
        </w:rPr>
        <w:t xml:space="preserve"> contractor identifies damages</w:t>
      </w:r>
      <w:r w:rsidR="00C745D4">
        <w:rPr>
          <w:rFonts w:cs="Times New Roman"/>
          <w:szCs w:val="24"/>
        </w:rPr>
        <w:t xml:space="preserve"> attributable to the project (i.e., departing from the baseline road status established by the pre-construction inspection)</w:t>
      </w:r>
      <w:r w:rsidRPr="00A559A4">
        <w:rPr>
          <w:rFonts w:cs="Times New Roman"/>
          <w:szCs w:val="24"/>
        </w:rPr>
        <w:t xml:space="preserve">, </w:t>
      </w:r>
      <w:r w:rsidR="00DF30A5">
        <w:rPr>
          <w:rFonts w:cs="Times New Roman"/>
          <w:szCs w:val="24"/>
        </w:rPr>
        <w:t>road district</w:t>
      </w:r>
      <w:r w:rsidR="006A56F3">
        <w:rPr>
          <w:rFonts w:cs="Times New Roman"/>
          <w:szCs w:val="24"/>
        </w:rPr>
        <w:t xml:space="preserve"> officials</w:t>
      </w:r>
      <w:r w:rsidRPr="00A559A4">
        <w:rPr>
          <w:rFonts w:cs="Times New Roman"/>
          <w:szCs w:val="24"/>
        </w:rPr>
        <w:t xml:space="preserve"> or</w:t>
      </w:r>
      <w:r w:rsidR="006A56F3">
        <w:rPr>
          <w:rFonts w:cs="Times New Roman"/>
          <w:szCs w:val="24"/>
        </w:rPr>
        <w:t xml:space="preserve"> the</w:t>
      </w:r>
      <w:r w:rsidRPr="00A559A4">
        <w:rPr>
          <w:rFonts w:cs="Times New Roman"/>
          <w:szCs w:val="24"/>
        </w:rPr>
        <w:t xml:space="preserve"> County Engineer will need to </w:t>
      </w:r>
      <w:r w:rsidR="00A559A4">
        <w:rPr>
          <w:rFonts w:cs="Times New Roman"/>
          <w:szCs w:val="24"/>
        </w:rPr>
        <w:t>notify th</w:t>
      </w:r>
      <w:r w:rsidR="00C745D4">
        <w:rPr>
          <w:rFonts w:cs="Times New Roman"/>
          <w:szCs w:val="24"/>
        </w:rPr>
        <w:t xml:space="preserve">ose responsible for the project </w:t>
      </w:r>
      <w:r w:rsidR="00A559A4">
        <w:rPr>
          <w:rFonts w:cs="Times New Roman"/>
          <w:szCs w:val="24"/>
        </w:rPr>
        <w:t>in writing of the repair work that needs to be done and prepare estimates of the cost</w:t>
      </w:r>
      <w:r w:rsidR="00EC6FB0">
        <w:rPr>
          <w:rFonts w:cs="Times New Roman"/>
          <w:szCs w:val="24"/>
        </w:rPr>
        <w:t>s</w:t>
      </w:r>
      <w:r w:rsidR="00A559A4">
        <w:rPr>
          <w:rFonts w:cs="Times New Roman"/>
          <w:szCs w:val="24"/>
        </w:rPr>
        <w:t xml:space="preserve"> to </w:t>
      </w:r>
      <w:r w:rsidR="006A56F3">
        <w:rPr>
          <w:rFonts w:cs="Times New Roman"/>
          <w:szCs w:val="24"/>
        </w:rPr>
        <w:t xml:space="preserve">repair </w:t>
      </w:r>
      <w:r w:rsidR="00C745D4">
        <w:rPr>
          <w:rFonts w:cs="Times New Roman"/>
          <w:szCs w:val="24"/>
        </w:rPr>
        <w:t>these</w:t>
      </w:r>
      <w:r w:rsidRPr="00A559A4">
        <w:rPr>
          <w:rFonts w:cs="Times New Roman"/>
          <w:szCs w:val="24"/>
        </w:rPr>
        <w:t xml:space="preserve"> roads to their pre-</w:t>
      </w:r>
      <w:r w:rsidR="00A559A4">
        <w:rPr>
          <w:rFonts w:cs="Times New Roman"/>
          <w:szCs w:val="24"/>
        </w:rPr>
        <w:t>project</w:t>
      </w:r>
      <w:r w:rsidRPr="00A559A4">
        <w:rPr>
          <w:rFonts w:cs="Times New Roman"/>
          <w:szCs w:val="24"/>
        </w:rPr>
        <w:t xml:space="preserve"> condition.</w:t>
      </w:r>
    </w:p>
    <w:p w14:paraId="0A8FAFFE" w14:textId="77777777" w:rsidR="00233941" w:rsidRDefault="00233941" w:rsidP="00DF30A5">
      <w:pPr>
        <w:pStyle w:val="ListParagraph"/>
        <w:ind w:left="2160" w:hanging="720"/>
        <w:jc w:val="both"/>
        <w:rPr>
          <w:rFonts w:cs="Times New Roman"/>
          <w:szCs w:val="24"/>
        </w:rPr>
      </w:pPr>
    </w:p>
    <w:p w14:paraId="38420EEF" w14:textId="58F3CEF3" w:rsidR="007B2AD7" w:rsidRPr="00A559A4" w:rsidRDefault="007B2AD7" w:rsidP="00DF30A5">
      <w:pPr>
        <w:pStyle w:val="ListParagraph"/>
        <w:numPr>
          <w:ilvl w:val="1"/>
          <w:numId w:val="3"/>
        </w:numPr>
        <w:ind w:left="2160" w:hanging="720"/>
        <w:jc w:val="both"/>
        <w:rPr>
          <w:rFonts w:cs="Times New Roman"/>
          <w:szCs w:val="24"/>
        </w:rPr>
      </w:pPr>
      <w:r>
        <w:rPr>
          <w:rFonts w:cs="Times New Roman"/>
          <w:szCs w:val="24"/>
        </w:rPr>
        <w:t xml:space="preserve">Upon completion of the final restoration/repair work or the </w:t>
      </w:r>
      <w:r w:rsidR="0023609C">
        <w:rPr>
          <w:rFonts w:cs="Times New Roman"/>
          <w:szCs w:val="24"/>
        </w:rPr>
        <w:t xml:space="preserve">release of the </w:t>
      </w:r>
      <w:r>
        <w:rPr>
          <w:rFonts w:cs="Times New Roman"/>
          <w:szCs w:val="24"/>
        </w:rPr>
        <w:t xml:space="preserve">funds needed to complete such work, the </w:t>
      </w:r>
      <w:r w:rsidR="00DF30A5">
        <w:rPr>
          <w:rFonts w:cs="Times New Roman"/>
          <w:szCs w:val="24"/>
        </w:rPr>
        <w:t>road district</w:t>
      </w:r>
      <w:r>
        <w:rPr>
          <w:rFonts w:cs="Times New Roman"/>
          <w:szCs w:val="24"/>
        </w:rPr>
        <w:t xml:space="preserve"> should execute a release of claims in the </w:t>
      </w:r>
      <w:r w:rsidR="00C745D4">
        <w:rPr>
          <w:rFonts w:cs="Times New Roman"/>
          <w:szCs w:val="24"/>
        </w:rPr>
        <w:t xml:space="preserve">project participants’ </w:t>
      </w:r>
      <w:r>
        <w:rPr>
          <w:rFonts w:cs="Times New Roman"/>
          <w:szCs w:val="24"/>
        </w:rPr>
        <w:t>favor</w:t>
      </w:r>
      <w:r w:rsidR="0023609C">
        <w:rPr>
          <w:rFonts w:cs="Times New Roman"/>
          <w:szCs w:val="24"/>
        </w:rPr>
        <w:t>.</w:t>
      </w:r>
      <w:r>
        <w:rPr>
          <w:rFonts w:cs="Times New Roman"/>
          <w:szCs w:val="24"/>
        </w:rPr>
        <w:t xml:space="preserve"> </w:t>
      </w:r>
    </w:p>
    <w:p w14:paraId="23CCDF63" w14:textId="77777777" w:rsidR="000111D0" w:rsidRDefault="000111D0" w:rsidP="00DF30A5">
      <w:pPr>
        <w:pStyle w:val="ListParagraph"/>
        <w:jc w:val="both"/>
        <w:rPr>
          <w:rFonts w:cs="Times New Roman"/>
          <w:szCs w:val="24"/>
        </w:rPr>
      </w:pPr>
    </w:p>
    <w:p w14:paraId="6012F11B" w14:textId="687D6A27" w:rsidR="00C745D4" w:rsidRDefault="008E1A1D" w:rsidP="00DF30A5">
      <w:pPr>
        <w:pStyle w:val="ListParagraph"/>
        <w:numPr>
          <w:ilvl w:val="0"/>
          <w:numId w:val="3"/>
        </w:numPr>
        <w:ind w:left="1440" w:hanging="720"/>
        <w:jc w:val="both"/>
        <w:rPr>
          <w:rFonts w:cs="Times New Roman"/>
          <w:szCs w:val="24"/>
        </w:rPr>
      </w:pPr>
      <w:r w:rsidRPr="00D06A46">
        <w:rPr>
          <w:rFonts w:cs="Times New Roman"/>
          <w:szCs w:val="24"/>
        </w:rPr>
        <w:t xml:space="preserve">Should there be a disagreement between the </w:t>
      </w:r>
      <w:r w:rsidR="00DF30A5">
        <w:rPr>
          <w:rFonts w:cs="Times New Roman"/>
          <w:szCs w:val="24"/>
        </w:rPr>
        <w:t>road district</w:t>
      </w:r>
      <w:r w:rsidRPr="00D06A46">
        <w:rPr>
          <w:rFonts w:cs="Times New Roman"/>
          <w:szCs w:val="24"/>
        </w:rPr>
        <w:t xml:space="preserve"> and the </w:t>
      </w:r>
      <w:r w:rsidR="00C745D4">
        <w:rPr>
          <w:rFonts w:cs="Times New Roman"/>
          <w:szCs w:val="24"/>
        </w:rPr>
        <w:t>other signatories to the RUA</w:t>
      </w:r>
      <w:r w:rsidRPr="00D06A46">
        <w:rPr>
          <w:rFonts w:cs="Times New Roman"/>
          <w:szCs w:val="24"/>
        </w:rPr>
        <w:t xml:space="preserve"> regarding the</w:t>
      </w:r>
      <w:r w:rsidR="00C921D8">
        <w:rPr>
          <w:rFonts w:cs="Times New Roman"/>
          <w:szCs w:val="24"/>
        </w:rPr>
        <w:t xml:space="preserve"> extent of damage or the</w:t>
      </w:r>
      <w:r w:rsidRPr="00D06A46">
        <w:rPr>
          <w:rFonts w:cs="Times New Roman"/>
          <w:szCs w:val="24"/>
        </w:rPr>
        <w:t xml:space="preserve"> </w:t>
      </w:r>
      <w:r w:rsidR="00DD6160" w:rsidRPr="00D06A46">
        <w:rPr>
          <w:rFonts w:cs="Times New Roman"/>
          <w:szCs w:val="24"/>
        </w:rPr>
        <w:t>cost of remediating any damage</w:t>
      </w:r>
      <w:r w:rsidR="00C921D8">
        <w:rPr>
          <w:rFonts w:cs="Times New Roman"/>
          <w:szCs w:val="24"/>
        </w:rPr>
        <w:t xml:space="preserve"> which cannot be resolved by</w:t>
      </w:r>
      <w:r w:rsidR="00AE60B6">
        <w:rPr>
          <w:rFonts w:cs="Times New Roman"/>
          <w:szCs w:val="24"/>
        </w:rPr>
        <w:t xml:space="preserve"> the good faith negotiation of the parties</w:t>
      </w:r>
      <w:r w:rsidR="00DD6160" w:rsidRPr="00D06A46">
        <w:rPr>
          <w:rFonts w:cs="Times New Roman"/>
          <w:szCs w:val="24"/>
        </w:rPr>
        <w:t xml:space="preserve">, a neutral party selected by both sides (and paid for by the </w:t>
      </w:r>
      <w:r w:rsidR="00C745D4">
        <w:rPr>
          <w:rFonts w:cs="Times New Roman"/>
          <w:szCs w:val="24"/>
        </w:rPr>
        <w:t>construction project participant</w:t>
      </w:r>
      <w:r w:rsidR="006C259B">
        <w:rPr>
          <w:rFonts w:cs="Times New Roman"/>
          <w:szCs w:val="24"/>
        </w:rPr>
        <w:t>s</w:t>
      </w:r>
      <w:r w:rsidR="00DD6160" w:rsidRPr="00D06A46">
        <w:rPr>
          <w:rFonts w:cs="Times New Roman"/>
          <w:szCs w:val="24"/>
        </w:rPr>
        <w:t xml:space="preserve">) </w:t>
      </w:r>
      <w:r w:rsidR="000609BF">
        <w:rPr>
          <w:rFonts w:cs="Times New Roman"/>
          <w:szCs w:val="24"/>
        </w:rPr>
        <w:t>might</w:t>
      </w:r>
      <w:r w:rsidR="00DD6160" w:rsidRPr="00D06A46">
        <w:rPr>
          <w:rFonts w:cs="Times New Roman"/>
          <w:szCs w:val="24"/>
        </w:rPr>
        <w:t xml:space="preserve"> be retained to review all pertinent documents and determine </w:t>
      </w:r>
      <w:r w:rsidR="000609BF">
        <w:rPr>
          <w:rFonts w:cs="Times New Roman"/>
          <w:szCs w:val="24"/>
        </w:rPr>
        <w:t>the</w:t>
      </w:r>
      <w:r w:rsidR="00DD6160" w:rsidRPr="00D06A46">
        <w:rPr>
          <w:rFonts w:cs="Times New Roman"/>
          <w:szCs w:val="24"/>
        </w:rPr>
        <w:t xml:space="preserve"> final cost of </w:t>
      </w:r>
      <w:r w:rsidR="00C745D4">
        <w:rPr>
          <w:rFonts w:cs="Times New Roman"/>
          <w:szCs w:val="24"/>
        </w:rPr>
        <w:t xml:space="preserve">any </w:t>
      </w:r>
      <w:r w:rsidR="00DD6160" w:rsidRPr="00D06A46">
        <w:rPr>
          <w:rFonts w:cs="Times New Roman"/>
          <w:szCs w:val="24"/>
        </w:rPr>
        <w:t>roadway repairs</w:t>
      </w:r>
      <w:r w:rsidR="00C745D4">
        <w:rPr>
          <w:rFonts w:cs="Times New Roman"/>
          <w:szCs w:val="24"/>
        </w:rPr>
        <w:t xml:space="preserve"> covered by the RUA</w:t>
      </w:r>
      <w:r w:rsidR="0023609C">
        <w:rPr>
          <w:rFonts w:cs="Times New Roman"/>
          <w:szCs w:val="24"/>
        </w:rPr>
        <w:t>.</w:t>
      </w:r>
    </w:p>
    <w:p w14:paraId="62CCA7BF" w14:textId="77777777" w:rsidR="00C745D4" w:rsidRDefault="00C745D4" w:rsidP="00DF30A5">
      <w:pPr>
        <w:pStyle w:val="ListParagraph"/>
        <w:jc w:val="both"/>
        <w:rPr>
          <w:rFonts w:cs="Times New Roman"/>
          <w:szCs w:val="24"/>
        </w:rPr>
      </w:pPr>
    </w:p>
    <w:p w14:paraId="5D675E42" w14:textId="15AEFEEE" w:rsidR="008E1A1D" w:rsidRPr="00D06A46" w:rsidRDefault="0023609C" w:rsidP="00DF30A5">
      <w:pPr>
        <w:pStyle w:val="ListParagraph"/>
        <w:numPr>
          <w:ilvl w:val="1"/>
          <w:numId w:val="3"/>
        </w:numPr>
        <w:ind w:left="2160" w:hanging="720"/>
        <w:jc w:val="both"/>
        <w:rPr>
          <w:rFonts w:cs="Times New Roman"/>
          <w:szCs w:val="24"/>
        </w:rPr>
      </w:pPr>
      <w:r>
        <w:rPr>
          <w:rFonts w:cs="Times New Roman"/>
          <w:szCs w:val="24"/>
        </w:rPr>
        <w:t>Other</w:t>
      </w:r>
      <w:r w:rsidR="009851A9">
        <w:rPr>
          <w:rFonts w:cs="Times New Roman"/>
          <w:szCs w:val="24"/>
        </w:rPr>
        <w:t xml:space="preserve"> dispute resolution procedures agreed upon by the parties</w:t>
      </w:r>
      <w:r w:rsidR="00C745D4">
        <w:rPr>
          <w:rFonts w:cs="Times New Roman"/>
          <w:szCs w:val="24"/>
        </w:rPr>
        <w:t>, such as mediation or arbitration,</w:t>
      </w:r>
      <w:r>
        <w:rPr>
          <w:rFonts w:cs="Times New Roman"/>
          <w:szCs w:val="24"/>
        </w:rPr>
        <w:t xml:space="preserve"> might also be adopted</w:t>
      </w:r>
      <w:r w:rsidR="009851A9">
        <w:rPr>
          <w:rFonts w:cs="Times New Roman"/>
          <w:szCs w:val="24"/>
        </w:rPr>
        <w:t xml:space="preserve">. </w:t>
      </w:r>
    </w:p>
    <w:sectPr w:rsidR="008E1A1D" w:rsidRPr="00D06A4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4E7157" w14:textId="77777777" w:rsidR="00E40481" w:rsidRDefault="00E40481" w:rsidP="00F93616">
      <w:r>
        <w:separator/>
      </w:r>
    </w:p>
  </w:endnote>
  <w:endnote w:type="continuationSeparator" w:id="0">
    <w:p w14:paraId="71FBAE6B" w14:textId="77777777" w:rsidR="00E40481" w:rsidRDefault="00E40481" w:rsidP="00F93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7837037"/>
      <w:docPartObj>
        <w:docPartGallery w:val="Page Numbers (Bottom of Page)"/>
        <w:docPartUnique/>
      </w:docPartObj>
    </w:sdtPr>
    <w:sdtEndPr>
      <w:rPr>
        <w:noProof/>
      </w:rPr>
    </w:sdtEndPr>
    <w:sdtContent>
      <w:p w14:paraId="64F96C76" w14:textId="7E1264A5" w:rsidR="00FA0D62" w:rsidRDefault="00FA0D6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18366A" w14:textId="77777777" w:rsidR="00E40481" w:rsidRDefault="00E40481" w:rsidP="00F93616">
      <w:r>
        <w:separator/>
      </w:r>
    </w:p>
  </w:footnote>
  <w:footnote w:type="continuationSeparator" w:id="0">
    <w:p w14:paraId="7DA55CC6" w14:textId="77777777" w:rsidR="00E40481" w:rsidRDefault="00E40481" w:rsidP="00F936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92C81"/>
    <w:multiLevelType w:val="hybridMultilevel"/>
    <w:tmpl w:val="1C622BE4"/>
    <w:lvl w:ilvl="0" w:tplc="04090017">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1A5535"/>
    <w:multiLevelType w:val="hybridMultilevel"/>
    <w:tmpl w:val="276829FE"/>
    <w:lvl w:ilvl="0" w:tplc="772A04FA">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E55A47"/>
    <w:multiLevelType w:val="hybridMultilevel"/>
    <w:tmpl w:val="D5EE8E8A"/>
    <w:lvl w:ilvl="0" w:tplc="C4BA9906">
      <w:start w:val="1"/>
      <w:numFmt w:val="upperLetter"/>
      <w:lvlText w:val="%1."/>
      <w:lvlJc w:val="left"/>
      <w:pPr>
        <w:ind w:left="720" w:hanging="360"/>
      </w:pPr>
      <w:rPr>
        <w:rFonts w:hint="default"/>
        <w:b w:val="0"/>
      </w:rPr>
    </w:lvl>
    <w:lvl w:ilvl="1" w:tplc="2CC85CE2">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841715"/>
    <w:multiLevelType w:val="hybridMultilevel"/>
    <w:tmpl w:val="9F5AAA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B674E3"/>
    <w:multiLevelType w:val="hybridMultilevel"/>
    <w:tmpl w:val="3FEA4A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E7252A"/>
    <w:multiLevelType w:val="hybridMultilevel"/>
    <w:tmpl w:val="0A64EC7A"/>
    <w:lvl w:ilvl="0" w:tplc="B7944C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3B7617"/>
    <w:multiLevelType w:val="hybridMultilevel"/>
    <w:tmpl w:val="E8049ED2"/>
    <w:lvl w:ilvl="0" w:tplc="04090019">
      <w:start w:val="1"/>
      <w:numFmt w:val="lowerLetter"/>
      <w:lvlText w:val="%1."/>
      <w:lvlJc w:val="left"/>
      <w:pPr>
        <w:ind w:left="2880" w:hanging="36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15:restartNumberingAfterBreak="0">
    <w:nsid w:val="1B595EB5"/>
    <w:multiLevelType w:val="hybridMultilevel"/>
    <w:tmpl w:val="06486160"/>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294034FC"/>
    <w:multiLevelType w:val="hybridMultilevel"/>
    <w:tmpl w:val="6964B14A"/>
    <w:lvl w:ilvl="0" w:tplc="B950C6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6F3AE5"/>
    <w:multiLevelType w:val="hybridMultilevel"/>
    <w:tmpl w:val="81AAC56C"/>
    <w:lvl w:ilvl="0" w:tplc="95AC4EE8">
      <w:start w:val="1"/>
      <w:numFmt w:val="upperLetter"/>
      <w:lvlText w:val="%1."/>
      <w:lvlJc w:val="left"/>
      <w:pPr>
        <w:ind w:left="720" w:hanging="360"/>
      </w:pPr>
      <w:rPr>
        <w:rFonts w:ascii="Times New Roman" w:eastAsiaTheme="minorHAnsi" w:hAnsi="Times New Roman" w:cs="Times New Roman"/>
        <w:b w:val="0"/>
      </w:rPr>
    </w:lvl>
    <w:lvl w:ilvl="1" w:tplc="2CC85CE2">
      <w:start w:val="1"/>
      <w:numFmt w:val="lowerRoman"/>
      <w:lvlText w:val="%2."/>
      <w:lvlJc w:val="left"/>
      <w:pPr>
        <w:ind w:left="1440" w:hanging="360"/>
      </w:pPr>
      <w:rPr>
        <w:rFonts w:hint="default"/>
      </w:rPr>
    </w:lvl>
    <w:lvl w:ilvl="2" w:tplc="04090019">
      <w:start w:val="1"/>
      <w:numFmt w:val="low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9F42B4"/>
    <w:multiLevelType w:val="hybridMultilevel"/>
    <w:tmpl w:val="40C076CE"/>
    <w:lvl w:ilvl="0" w:tplc="2CC85CE2">
      <w:start w:val="1"/>
      <w:numFmt w:val="lowerRoman"/>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1B1002D"/>
    <w:multiLevelType w:val="hybridMultilevel"/>
    <w:tmpl w:val="E6D66672"/>
    <w:lvl w:ilvl="0" w:tplc="A1360852">
      <w:start w:val="1"/>
      <w:numFmt w:val="lowerLetter"/>
      <w:lvlText w:val="%1."/>
      <w:lvlJc w:val="left"/>
      <w:pPr>
        <w:ind w:left="2880" w:hanging="360"/>
      </w:pPr>
      <w:rPr>
        <w:b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15:restartNumberingAfterBreak="0">
    <w:nsid w:val="399126A3"/>
    <w:multiLevelType w:val="hybridMultilevel"/>
    <w:tmpl w:val="A71455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0F227A"/>
    <w:multiLevelType w:val="hybridMultilevel"/>
    <w:tmpl w:val="1144DEA2"/>
    <w:lvl w:ilvl="0" w:tplc="2CC85CE2">
      <w:start w:val="1"/>
      <w:numFmt w:val="lowerRoman"/>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67D5E25"/>
    <w:multiLevelType w:val="hybridMultilevel"/>
    <w:tmpl w:val="5568E37A"/>
    <w:lvl w:ilvl="0" w:tplc="04090003">
      <w:start w:val="1"/>
      <w:numFmt w:val="bullet"/>
      <w:lvlText w:val="o"/>
      <w:lvlJc w:val="left"/>
      <w:pPr>
        <w:ind w:left="1140" w:hanging="360"/>
      </w:pPr>
      <w:rPr>
        <w:rFonts w:ascii="Courier New" w:hAnsi="Courier New" w:cs="Courier New"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5" w15:restartNumberingAfterBreak="0">
    <w:nsid w:val="49CC5DAA"/>
    <w:multiLevelType w:val="hybridMultilevel"/>
    <w:tmpl w:val="C8004486"/>
    <w:lvl w:ilvl="0" w:tplc="2CC85CE2">
      <w:start w:val="1"/>
      <w:numFmt w:val="lowerRoman"/>
      <w:lvlText w:val="%1."/>
      <w:lvlJc w:val="left"/>
      <w:pPr>
        <w:ind w:left="1860" w:hanging="72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6" w15:restartNumberingAfterBreak="0">
    <w:nsid w:val="4F9831EC"/>
    <w:multiLevelType w:val="hybridMultilevel"/>
    <w:tmpl w:val="6BA0456E"/>
    <w:lvl w:ilvl="0" w:tplc="13A4FB10">
      <w:start w:val="4"/>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2C151C"/>
    <w:multiLevelType w:val="hybridMultilevel"/>
    <w:tmpl w:val="43C8A9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99594E"/>
    <w:multiLevelType w:val="hybridMultilevel"/>
    <w:tmpl w:val="61A4442C"/>
    <w:lvl w:ilvl="0" w:tplc="2CC85CE2">
      <w:start w:val="1"/>
      <w:numFmt w:val="lowerRoman"/>
      <w:lvlText w:val="%1."/>
      <w:lvlJc w:val="left"/>
      <w:pPr>
        <w:ind w:left="1440" w:hanging="360"/>
      </w:pPr>
      <w:rPr>
        <w:rFonts w:hint="default"/>
        <w:b w:val="0"/>
      </w:rPr>
    </w:lvl>
    <w:lvl w:ilvl="1" w:tplc="04090005">
      <w:start w:val="1"/>
      <w:numFmt w:val="bullet"/>
      <w:lvlText w:val=""/>
      <w:lvlJc w:val="left"/>
      <w:pPr>
        <w:ind w:left="2160" w:hanging="360"/>
      </w:pPr>
      <w:rPr>
        <w:rFonts w:ascii="Wingdings" w:hAnsi="Wingding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BCE3685"/>
    <w:multiLevelType w:val="hybridMultilevel"/>
    <w:tmpl w:val="9334B516"/>
    <w:lvl w:ilvl="0" w:tplc="2CC85CE2">
      <w:start w:val="1"/>
      <w:numFmt w:val="lowerRoman"/>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EE54AFA"/>
    <w:multiLevelType w:val="hybridMultilevel"/>
    <w:tmpl w:val="97A4E75A"/>
    <w:lvl w:ilvl="0" w:tplc="2CC85CE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F447E40"/>
    <w:multiLevelType w:val="hybridMultilevel"/>
    <w:tmpl w:val="D0363D90"/>
    <w:lvl w:ilvl="0" w:tplc="5E1E1080">
      <w:start w:val="1"/>
      <w:numFmt w:val="upperLetter"/>
      <w:lvlText w:val="%1."/>
      <w:lvlJc w:val="left"/>
      <w:pPr>
        <w:ind w:left="720" w:hanging="360"/>
      </w:pPr>
      <w:rPr>
        <w:rFonts w:hint="default"/>
        <w:b w:val="0"/>
      </w:rPr>
    </w:lvl>
    <w:lvl w:ilvl="1" w:tplc="2CC85CE2">
      <w:start w:val="1"/>
      <w:numFmt w:val="lowerRoman"/>
      <w:lvlText w:val="%2."/>
      <w:lvlJc w:val="left"/>
      <w:pPr>
        <w:ind w:left="1440" w:hanging="360"/>
      </w:pPr>
      <w:rPr>
        <w:rFonts w:hint="default"/>
      </w:r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766561"/>
    <w:multiLevelType w:val="hybridMultilevel"/>
    <w:tmpl w:val="905CC4C0"/>
    <w:lvl w:ilvl="0" w:tplc="2CC85CE2">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763C2890"/>
    <w:multiLevelType w:val="hybridMultilevel"/>
    <w:tmpl w:val="A5983884"/>
    <w:lvl w:ilvl="0" w:tplc="2CC85CE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7D1C7136"/>
    <w:multiLevelType w:val="hybridMultilevel"/>
    <w:tmpl w:val="E386333A"/>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5" w15:restartNumberingAfterBreak="0">
    <w:nsid w:val="7F890555"/>
    <w:multiLevelType w:val="hybridMultilevel"/>
    <w:tmpl w:val="7FAEDD68"/>
    <w:lvl w:ilvl="0" w:tplc="4D4E1F7E">
      <w:start w:val="1"/>
      <w:numFmt w:val="lowerRoman"/>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2"/>
  </w:num>
  <w:num w:numId="2">
    <w:abstractNumId w:val="17"/>
  </w:num>
  <w:num w:numId="3">
    <w:abstractNumId w:val="9"/>
  </w:num>
  <w:num w:numId="4">
    <w:abstractNumId w:val="14"/>
  </w:num>
  <w:num w:numId="5">
    <w:abstractNumId w:val="3"/>
  </w:num>
  <w:num w:numId="6">
    <w:abstractNumId w:val="21"/>
  </w:num>
  <w:num w:numId="7">
    <w:abstractNumId w:val="2"/>
  </w:num>
  <w:num w:numId="8">
    <w:abstractNumId w:val="20"/>
  </w:num>
  <w:num w:numId="9">
    <w:abstractNumId w:val="19"/>
  </w:num>
  <w:num w:numId="10">
    <w:abstractNumId w:val="22"/>
  </w:num>
  <w:num w:numId="11">
    <w:abstractNumId w:val="5"/>
  </w:num>
  <w:num w:numId="12">
    <w:abstractNumId w:val="23"/>
  </w:num>
  <w:num w:numId="13">
    <w:abstractNumId w:val="18"/>
  </w:num>
  <w:num w:numId="14">
    <w:abstractNumId w:val="15"/>
  </w:num>
  <w:num w:numId="15">
    <w:abstractNumId w:val="13"/>
  </w:num>
  <w:num w:numId="16">
    <w:abstractNumId w:val="6"/>
  </w:num>
  <w:num w:numId="17">
    <w:abstractNumId w:val="16"/>
  </w:num>
  <w:num w:numId="18">
    <w:abstractNumId w:val="0"/>
  </w:num>
  <w:num w:numId="19">
    <w:abstractNumId w:val="25"/>
  </w:num>
  <w:num w:numId="20">
    <w:abstractNumId w:val="4"/>
  </w:num>
  <w:num w:numId="21">
    <w:abstractNumId w:val="1"/>
  </w:num>
  <w:num w:numId="22">
    <w:abstractNumId w:val="10"/>
  </w:num>
  <w:num w:numId="23">
    <w:abstractNumId w:val="8"/>
  </w:num>
  <w:num w:numId="24">
    <w:abstractNumId w:val="7"/>
  </w:num>
  <w:num w:numId="25">
    <w:abstractNumId w:val="11"/>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3B4"/>
    <w:rsid w:val="000111D0"/>
    <w:rsid w:val="0001154C"/>
    <w:rsid w:val="00043012"/>
    <w:rsid w:val="00056767"/>
    <w:rsid w:val="000579C8"/>
    <w:rsid w:val="000609BF"/>
    <w:rsid w:val="000D4370"/>
    <w:rsid w:val="000E0200"/>
    <w:rsid w:val="000E5E2D"/>
    <w:rsid w:val="001116E9"/>
    <w:rsid w:val="0012426E"/>
    <w:rsid w:val="001317A0"/>
    <w:rsid w:val="0015583E"/>
    <w:rsid w:val="0016672D"/>
    <w:rsid w:val="0019712B"/>
    <w:rsid w:val="002236C7"/>
    <w:rsid w:val="00233941"/>
    <w:rsid w:val="0023609C"/>
    <w:rsid w:val="002375D5"/>
    <w:rsid w:val="0028173C"/>
    <w:rsid w:val="00283C09"/>
    <w:rsid w:val="002A6465"/>
    <w:rsid w:val="002D1258"/>
    <w:rsid w:val="002E772D"/>
    <w:rsid w:val="00380DD0"/>
    <w:rsid w:val="003A1B5C"/>
    <w:rsid w:val="003A3EF0"/>
    <w:rsid w:val="004135DD"/>
    <w:rsid w:val="004233B4"/>
    <w:rsid w:val="00430D78"/>
    <w:rsid w:val="00436043"/>
    <w:rsid w:val="00437EF4"/>
    <w:rsid w:val="00464DB8"/>
    <w:rsid w:val="00465843"/>
    <w:rsid w:val="00497E8A"/>
    <w:rsid w:val="004C2D72"/>
    <w:rsid w:val="004F4C33"/>
    <w:rsid w:val="00504F3D"/>
    <w:rsid w:val="005538DE"/>
    <w:rsid w:val="00582EBD"/>
    <w:rsid w:val="005A249C"/>
    <w:rsid w:val="005D0650"/>
    <w:rsid w:val="005E1261"/>
    <w:rsid w:val="005F3B2C"/>
    <w:rsid w:val="0060767F"/>
    <w:rsid w:val="006408D1"/>
    <w:rsid w:val="00673979"/>
    <w:rsid w:val="006A56F3"/>
    <w:rsid w:val="006C259B"/>
    <w:rsid w:val="00737BBF"/>
    <w:rsid w:val="007A033B"/>
    <w:rsid w:val="007B2AD7"/>
    <w:rsid w:val="007C158B"/>
    <w:rsid w:val="007D7258"/>
    <w:rsid w:val="008167D2"/>
    <w:rsid w:val="00825962"/>
    <w:rsid w:val="00825FC9"/>
    <w:rsid w:val="0086642D"/>
    <w:rsid w:val="00871272"/>
    <w:rsid w:val="008918D0"/>
    <w:rsid w:val="00895416"/>
    <w:rsid w:val="008E1A1D"/>
    <w:rsid w:val="008E3FC9"/>
    <w:rsid w:val="00954F76"/>
    <w:rsid w:val="00963D48"/>
    <w:rsid w:val="009851A9"/>
    <w:rsid w:val="009A17C5"/>
    <w:rsid w:val="009B73A7"/>
    <w:rsid w:val="009D7CDA"/>
    <w:rsid w:val="00A559A4"/>
    <w:rsid w:val="00A7249B"/>
    <w:rsid w:val="00A933FE"/>
    <w:rsid w:val="00AD0711"/>
    <w:rsid w:val="00AD5CAD"/>
    <w:rsid w:val="00AD5F25"/>
    <w:rsid w:val="00AE60B6"/>
    <w:rsid w:val="00B33F9F"/>
    <w:rsid w:val="00B6570B"/>
    <w:rsid w:val="00B75197"/>
    <w:rsid w:val="00BA6097"/>
    <w:rsid w:val="00BB7485"/>
    <w:rsid w:val="00BC0253"/>
    <w:rsid w:val="00C65192"/>
    <w:rsid w:val="00C745D4"/>
    <w:rsid w:val="00C75265"/>
    <w:rsid w:val="00C921D8"/>
    <w:rsid w:val="00CA0E24"/>
    <w:rsid w:val="00CA12FD"/>
    <w:rsid w:val="00D06A46"/>
    <w:rsid w:val="00D16364"/>
    <w:rsid w:val="00DB0700"/>
    <w:rsid w:val="00DB5CF5"/>
    <w:rsid w:val="00DD193E"/>
    <w:rsid w:val="00DD31FE"/>
    <w:rsid w:val="00DD6160"/>
    <w:rsid w:val="00DF30A5"/>
    <w:rsid w:val="00E009EA"/>
    <w:rsid w:val="00E14BAA"/>
    <w:rsid w:val="00E30A5B"/>
    <w:rsid w:val="00E3238D"/>
    <w:rsid w:val="00E40481"/>
    <w:rsid w:val="00E42042"/>
    <w:rsid w:val="00E746D8"/>
    <w:rsid w:val="00E779B4"/>
    <w:rsid w:val="00E9197D"/>
    <w:rsid w:val="00E91D28"/>
    <w:rsid w:val="00EB7B62"/>
    <w:rsid w:val="00EC6FB0"/>
    <w:rsid w:val="00EF3E1A"/>
    <w:rsid w:val="00F159AA"/>
    <w:rsid w:val="00F2543F"/>
    <w:rsid w:val="00F30E51"/>
    <w:rsid w:val="00F36EC7"/>
    <w:rsid w:val="00F806B4"/>
    <w:rsid w:val="00F85987"/>
    <w:rsid w:val="00F93616"/>
    <w:rsid w:val="00FA0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E0933"/>
  <w15:chartTrackingRefBased/>
  <w15:docId w15:val="{3A07334B-E69C-4B3F-85B6-4125B83A7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933FE"/>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33FE"/>
    <w:pPr>
      <w:ind w:left="720"/>
      <w:contextualSpacing/>
    </w:pPr>
  </w:style>
  <w:style w:type="paragraph" w:styleId="Header">
    <w:name w:val="header"/>
    <w:basedOn w:val="Normal"/>
    <w:link w:val="HeaderChar"/>
    <w:uiPriority w:val="99"/>
    <w:unhideWhenUsed/>
    <w:rsid w:val="00F93616"/>
    <w:pPr>
      <w:tabs>
        <w:tab w:val="center" w:pos="4680"/>
        <w:tab w:val="right" w:pos="9360"/>
      </w:tabs>
    </w:pPr>
  </w:style>
  <w:style w:type="character" w:customStyle="1" w:styleId="HeaderChar">
    <w:name w:val="Header Char"/>
    <w:basedOn w:val="DefaultParagraphFont"/>
    <w:link w:val="Header"/>
    <w:uiPriority w:val="99"/>
    <w:rsid w:val="00F93616"/>
  </w:style>
  <w:style w:type="paragraph" w:styleId="Footer">
    <w:name w:val="footer"/>
    <w:basedOn w:val="Normal"/>
    <w:link w:val="FooterChar"/>
    <w:uiPriority w:val="99"/>
    <w:unhideWhenUsed/>
    <w:rsid w:val="00F93616"/>
    <w:pPr>
      <w:tabs>
        <w:tab w:val="center" w:pos="4680"/>
        <w:tab w:val="right" w:pos="9360"/>
      </w:tabs>
    </w:pPr>
  </w:style>
  <w:style w:type="character" w:customStyle="1" w:styleId="FooterChar">
    <w:name w:val="Footer Char"/>
    <w:basedOn w:val="DefaultParagraphFont"/>
    <w:link w:val="Footer"/>
    <w:uiPriority w:val="99"/>
    <w:rsid w:val="00F93616"/>
  </w:style>
  <w:style w:type="paragraph" w:styleId="BalloonText">
    <w:name w:val="Balloon Text"/>
    <w:basedOn w:val="Normal"/>
    <w:link w:val="BalloonTextChar"/>
    <w:uiPriority w:val="99"/>
    <w:semiHidden/>
    <w:unhideWhenUsed/>
    <w:rsid w:val="00825F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FC9"/>
    <w:rPr>
      <w:rFonts w:ascii="Segoe UI" w:hAnsi="Segoe UI" w:cs="Segoe UI"/>
      <w:sz w:val="18"/>
      <w:szCs w:val="18"/>
    </w:rPr>
  </w:style>
  <w:style w:type="character" w:styleId="Hyperlink">
    <w:name w:val="Hyperlink"/>
    <w:basedOn w:val="DefaultParagraphFont"/>
    <w:uiPriority w:val="99"/>
    <w:semiHidden/>
    <w:unhideWhenUsed/>
    <w:rsid w:val="005D065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1260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hslaw.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4084</Words>
  <Characters>23283</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R. Clark</dc:creator>
  <cp:keywords/>
  <dc:description/>
  <cp:lastModifiedBy>Kristen Ball</cp:lastModifiedBy>
  <cp:revision>3</cp:revision>
  <cp:lastPrinted>2019-03-06T17:43:00Z</cp:lastPrinted>
  <dcterms:created xsi:type="dcterms:W3CDTF">2019-09-16T16:58:00Z</dcterms:created>
  <dcterms:modified xsi:type="dcterms:W3CDTF">2019-10-07T15:20:00Z</dcterms:modified>
</cp:coreProperties>
</file>